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7379" w14:textId="306589FF" w:rsidR="00154BCF" w:rsidRDefault="00966F33">
      <w:pPr>
        <w:rPr>
          <w:b/>
          <w:bCs/>
          <w:sz w:val="36"/>
          <w:szCs w:val="36"/>
        </w:rPr>
      </w:pPr>
      <w:r>
        <w:rPr>
          <w:noProof/>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58293192" w14:textId="77777777" w:rsidR="00D0133B" w:rsidRDefault="00D0133B">
      <w:pPr>
        <w:rPr>
          <w:b/>
          <w:bCs/>
          <w:sz w:val="36"/>
          <w:szCs w:val="36"/>
        </w:rPr>
      </w:pPr>
    </w:p>
    <w:p w14:paraId="40C59AC2" w14:textId="77777777" w:rsidR="00C84EAA" w:rsidRPr="00A761C5" w:rsidRDefault="00C84EAA" w:rsidP="00C84EAA">
      <w:pPr>
        <w:rPr>
          <w:rFonts w:cs="Arial"/>
          <w:b/>
          <w:bCs/>
          <w:sz w:val="28"/>
          <w:szCs w:val="28"/>
        </w:rPr>
      </w:pPr>
    </w:p>
    <w:p w14:paraId="1620AA8A" w14:textId="77777777" w:rsidR="001B6164" w:rsidRPr="00A761C5" w:rsidRDefault="001B6164" w:rsidP="00C84EAA">
      <w:pPr>
        <w:rPr>
          <w:rFonts w:cs="Arial"/>
          <w:b/>
          <w:bCs/>
          <w:sz w:val="28"/>
          <w:szCs w:val="28"/>
        </w:rPr>
      </w:pPr>
    </w:p>
    <w:p w14:paraId="5A85955F" w14:textId="77777777" w:rsidR="00D0133B" w:rsidRPr="00D0133B" w:rsidRDefault="00D0133B" w:rsidP="00D0133B">
      <w:pPr>
        <w:rPr>
          <w:lang w:eastAsia="en-GB"/>
        </w:rPr>
      </w:pPr>
    </w:p>
    <w:p w14:paraId="1FF95187" w14:textId="24EA495B" w:rsidR="0078454B" w:rsidRDefault="00861D0D" w:rsidP="0078454B">
      <w:pPr>
        <w:textAlignment w:val="baseline"/>
        <w:rPr>
          <w:rFonts w:eastAsia="Times New Roman" w:cs="Arial"/>
          <w:b/>
          <w:bCs/>
          <w:lang w:eastAsia="en-GB"/>
        </w:rPr>
      </w:pPr>
      <w:r>
        <w:rPr>
          <w:rFonts w:cs="Arial"/>
          <w:b/>
          <w:bCs/>
          <w:sz w:val="28"/>
          <w:szCs w:val="28"/>
        </w:rPr>
        <w:t>Materials</w:t>
      </w:r>
      <w:r w:rsidR="001C33E3" w:rsidRPr="003D3B74">
        <w:rPr>
          <w:rFonts w:cs="Arial"/>
          <w:b/>
          <w:bCs/>
          <w:sz w:val="28"/>
          <w:szCs w:val="28"/>
        </w:rPr>
        <w:t xml:space="preserve"> to support th</w:t>
      </w:r>
      <w:r w:rsidR="00C6169C">
        <w:rPr>
          <w:rFonts w:cs="Arial"/>
          <w:b/>
          <w:bCs/>
          <w:sz w:val="28"/>
          <w:szCs w:val="28"/>
        </w:rPr>
        <w:t>e delivery</w:t>
      </w:r>
      <w:r w:rsidR="001C33E3" w:rsidRPr="003D3B74">
        <w:rPr>
          <w:rFonts w:cs="Arial"/>
          <w:b/>
          <w:bCs/>
          <w:sz w:val="28"/>
          <w:szCs w:val="28"/>
        </w:rPr>
        <w:t xml:space="preserve"> of </w:t>
      </w:r>
      <w:r w:rsidR="0078474C">
        <w:rPr>
          <w:rFonts w:cs="Arial"/>
          <w:b/>
          <w:bCs/>
          <w:sz w:val="28"/>
          <w:szCs w:val="28"/>
        </w:rPr>
        <w:t>C</w:t>
      </w:r>
      <w:r w:rsidR="00BA1E44">
        <w:rPr>
          <w:rFonts w:cs="Arial"/>
          <w:b/>
          <w:bCs/>
          <w:sz w:val="28"/>
          <w:szCs w:val="28"/>
        </w:rPr>
        <w:t xml:space="preserve">ore </w:t>
      </w:r>
      <w:r w:rsidR="0078474C">
        <w:rPr>
          <w:rFonts w:cs="Arial"/>
          <w:b/>
          <w:bCs/>
          <w:sz w:val="28"/>
          <w:szCs w:val="28"/>
        </w:rPr>
        <w:t>K</w:t>
      </w:r>
      <w:r w:rsidR="00BA1E44">
        <w:rPr>
          <w:rFonts w:cs="Arial"/>
          <w:b/>
          <w:bCs/>
          <w:sz w:val="28"/>
          <w:szCs w:val="28"/>
        </w:rPr>
        <w:t xml:space="preserve">nowledge </w:t>
      </w:r>
      <w:r w:rsidR="0078474C">
        <w:rPr>
          <w:rFonts w:cs="Arial"/>
          <w:b/>
          <w:bCs/>
          <w:sz w:val="28"/>
          <w:szCs w:val="28"/>
        </w:rPr>
        <w:t>C</w:t>
      </w:r>
      <w:r w:rsidR="00BA1E44">
        <w:rPr>
          <w:rFonts w:cs="Arial"/>
          <w:b/>
          <w:bCs/>
          <w:sz w:val="28"/>
          <w:szCs w:val="28"/>
        </w:rPr>
        <w:t>ontent</w:t>
      </w:r>
      <w:r w:rsidR="00EE5F7C">
        <w:rPr>
          <w:rFonts w:cs="Arial"/>
          <w:b/>
          <w:bCs/>
          <w:sz w:val="28"/>
          <w:szCs w:val="28"/>
        </w:rPr>
        <w:t xml:space="preserve"> </w:t>
      </w:r>
      <w:r w:rsidR="00CF72A8">
        <w:rPr>
          <w:rFonts w:cs="Arial"/>
          <w:b/>
          <w:bCs/>
          <w:sz w:val="28"/>
          <w:szCs w:val="28"/>
        </w:rPr>
        <w:t xml:space="preserve">for the </w:t>
      </w:r>
      <w:r w:rsidR="002A0982">
        <w:rPr>
          <w:rFonts w:cs="Arial"/>
          <w:b/>
          <w:bCs/>
          <w:sz w:val="28"/>
          <w:szCs w:val="28"/>
        </w:rPr>
        <w:t xml:space="preserve">T Level </w:t>
      </w:r>
      <w:r w:rsidR="00CF72A8">
        <w:rPr>
          <w:rFonts w:cs="Arial"/>
          <w:b/>
          <w:bCs/>
          <w:sz w:val="28"/>
          <w:szCs w:val="28"/>
        </w:rPr>
        <w:t xml:space="preserve">in </w:t>
      </w:r>
      <w:r w:rsidR="008E73A9">
        <w:rPr>
          <w:rFonts w:cs="Arial"/>
          <w:b/>
          <w:bCs/>
          <w:sz w:val="28"/>
          <w:szCs w:val="28"/>
        </w:rPr>
        <w:t>Finance</w:t>
      </w:r>
      <w:r w:rsidR="00D53A95">
        <w:rPr>
          <w:rFonts w:cs="Arial"/>
          <w:b/>
          <w:bCs/>
          <w:sz w:val="28"/>
          <w:szCs w:val="28"/>
        </w:rPr>
        <w:t>.</w:t>
      </w:r>
    </w:p>
    <w:p w14:paraId="2F40AF77" w14:textId="77777777" w:rsidR="001C33E3" w:rsidRDefault="001C33E3" w:rsidP="0078454B">
      <w:pPr>
        <w:textAlignment w:val="baseline"/>
        <w:rPr>
          <w:rFonts w:cs="Arial"/>
        </w:rPr>
      </w:pPr>
    </w:p>
    <w:p w14:paraId="1DF6A826" w14:textId="343B57E6" w:rsidR="00603AF9" w:rsidRDefault="00717756" w:rsidP="00603AF9">
      <w:pPr>
        <w:textAlignment w:val="baseline"/>
        <w:rPr>
          <w:rFonts w:cs="Arial"/>
        </w:rPr>
      </w:pPr>
      <w:r w:rsidRPr="00417129">
        <w:rPr>
          <w:rFonts w:cs="Arial"/>
        </w:rPr>
        <w:t>This T Level Resource Improvement Pr</w:t>
      </w:r>
      <w:r>
        <w:rPr>
          <w:rFonts w:cs="Arial"/>
        </w:rPr>
        <w:t>o</w:t>
      </w:r>
      <w:r w:rsidRPr="00417129">
        <w:rPr>
          <w:rFonts w:cs="Arial"/>
        </w:rPr>
        <w:t xml:space="preserve">ject (TRIP) </w:t>
      </w:r>
      <w:r>
        <w:rPr>
          <w:rFonts w:cs="Arial"/>
        </w:rPr>
        <w:t xml:space="preserve">has produced a range of learning materials, developed by an experienced T Level provider. </w:t>
      </w:r>
      <w:r w:rsidR="00603AF9">
        <w:rPr>
          <w:rFonts w:cs="Arial"/>
        </w:rPr>
        <w:t xml:space="preserve">These </w:t>
      </w:r>
      <w:r w:rsidR="00603AF9" w:rsidRPr="00AB18F0">
        <w:rPr>
          <w:rFonts w:cs="Arial"/>
        </w:rPr>
        <w:t xml:space="preserve">learning </w:t>
      </w:r>
      <w:r w:rsidR="00603AF9">
        <w:rPr>
          <w:rFonts w:cs="Arial"/>
        </w:rPr>
        <w:t>materials</w:t>
      </w:r>
      <w:r w:rsidR="00603AF9" w:rsidRPr="00AB18F0">
        <w:rPr>
          <w:rFonts w:cs="Arial"/>
        </w:rPr>
        <w:t xml:space="preserve"> </w:t>
      </w:r>
      <w:r w:rsidR="00603AF9">
        <w:rPr>
          <w:rFonts w:cs="Arial"/>
        </w:rPr>
        <w:t xml:space="preserve">support </w:t>
      </w:r>
      <w:r w:rsidR="009021BC">
        <w:rPr>
          <w:rFonts w:cs="Arial"/>
        </w:rPr>
        <w:t>an</w:t>
      </w:r>
      <w:r w:rsidR="00603AF9">
        <w:rPr>
          <w:rFonts w:cs="Arial"/>
        </w:rPr>
        <w:t xml:space="preserve"> applied approach to the delivery of </w:t>
      </w:r>
      <w:r w:rsidR="004A19FF">
        <w:rPr>
          <w:rFonts w:cs="Arial"/>
        </w:rPr>
        <w:t xml:space="preserve">a </w:t>
      </w:r>
      <w:r w:rsidR="00603AF9">
        <w:rPr>
          <w:rFonts w:cs="Arial"/>
        </w:rPr>
        <w:t xml:space="preserve">specific area of </w:t>
      </w:r>
      <w:r w:rsidR="002D6068">
        <w:rPr>
          <w:rFonts w:cs="Arial"/>
        </w:rPr>
        <w:t>C</w:t>
      </w:r>
      <w:r w:rsidR="00603AF9">
        <w:rPr>
          <w:rFonts w:cs="Arial"/>
        </w:rPr>
        <w:t xml:space="preserve">ore </w:t>
      </w:r>
      <w:r w:rsidR="002D6068">
        <w:rPr>
          <w:rFonts w:cs="Arial"/>
        </w:rPr>
        <w:t>K</w:t>
      </w:r>
      <w:r w:rsidR="00603AF9">
        <w:rPr>
          <w:rFonts w:cs="Arial"/>
        </w:rPr>
        <w:t xml:space="preserve">nowledge </w:t>
      </w:r>
      <w:r w:rsidR="002D6068">
        <w:rPr>
          <w:rFonts w:cs="Arial"/>
        </w:rPr>
        <w:t>C</w:t>
      </w:r>
      <w:r w:rsidR="00603AF9">
        <w:rPr>
          <w:rFonts w:cs="Arial"/>
        </w:rPr>
        <w:t xml:space="preserve">ontent. These materials also encourage an approach to delivery that focuses on supporting higher order thinking skills to maximise learner understanding. This TRIP focuses particularly on </w:t>
      </w:r>
      <w:r w:rsidR="00603AF9">
        <w:rPr>
          <w:kern w:val="0"/>
          <w14:ligatures w14:val="none"/>
        </w:rPr>
        <w:t>content that requires a high level of understanding rather than just recall.</w:t>
      </w:r>
    </w:p>
    <w:p w14:paraId="01C1EB90" w14:textId="77777777" w:rsidR="008477B3" w:rsidRDefault="008477B3" w:rsidP="0078454B">
      <w:pPr>
        <w:textAlignment w:val="baseline"/>
        <w:rPr>
          <w:rFonts w:cs="Arial"/>
        </w:rPr>
      </w:pPr>
    </w:p>
    <w:p w14:paraId="260D234B" w14:textId="5B0199F6" w:rsidR="00604EEE" w:rsidRDefault="00230BAF" w:rsidP="00604EEE">
      <w:pPr>
        <w:textAlignment w:val="baseline"/>
        <w:rPr>
          <w:rFonts w:cs="Arial"/>
        </w:rPr>
      </w:pPr>
      <w:r w:rsidRPr="00230BAF">
        <w:rPr>
          <w:rFonts w:cs="Arial"/>
        </w:rPr>
        <w:t xml:space="preserve">Produced by </w:t>
      </w:r>
      <w:r w:rsidR="0078474C">
        <w:rPr>
          <w:rFonts w:cs="Arial"/>
          <w:b/>
          <w:bCs/>
        </w:rPr>
        <w:t>S</w:t>
      </w:r>
      <w:r w:rsidR="00A84554">
        <w:rPr>
          <w:rFonts w:cs="Arial"/>
          <w:b/>
          <w:bCs/>
        </w:rPr>
        <w:t xml:space="preserve">outh </w:t>
      </w:r>
      <w:r w:rsidR="00E65FFD">
        <w:rPr>
          <w:rFonts w:cs="Arial"/>
          <w:b/>
          <w:bCs/>
        </w:rPr>
        <w:t>Bank University Sixth Form</w:t>
      </w:r>
      <w:r w:rsidRPr="000719DC">
        <w:rPr>
          <w:rFonts w:cs="Arial"/>
        </w:rPr>
        <w:t xml:space="preserve">, </w:t>
      </w:r>
      <w:r>
        <w:rPr>
          <w:rFonts w:cs="Arial"/>
        </w:rPr>
        <w:t>th</w:t>
      </w:r>
      <w:r w:rsidR="00862D4B">
        <w:rPr>
          <w:rFonts w:cs="Arial"/>
        </w:rPr>
        <w:t>is TRIP</w:t>
      </w:r>
      <w:r>
        <w:rPr>
          <w:rFonts w:cs="Arial"/>
        </w:rPr>
        <w:t xml:space="preserve"> </w:t>
      </w:r>
      <w:r w:rsidR="0046498E" w:rsidRPr="0070753E">
        <w:rPr>
          <w:rFonts w:cs="Arial"/>
        </w:rPr>
        <w:t>provide</w:t>
      </w:r>
      <w:r w:rsidR="0046498E">
        <w:rPr>
          <w:rFonts w:cs="Arial"/>
        </w:rPr>
        <w:t>s</w:t>
      </w:r>
      <w:r w:rsidR="0046498E" w:rsidRPr="0070753E">
        <w:rPr>
          <w:rFonts w:cs="Arial"/>
        </w:rPr>
        <w:t xml:space="preserve"> </w:t>
      </w:r>
      <w:r w:rsidR="00DE5478">
        <w:rPr>
          <w:rFonts w:cs="Arial"/>
        </w:rPr>
        <w:t xml:space="preserve">an accessible </w:t>
      </w:r>
      <w:r w:rsidR="00F73BB3">
        <w:rPr>
          <w:rFonts w:cs="Arial"/>
        </w:rPr>
        <w:t>F</w:t>
      </w:r>
      <w:r w:rsidR="00DE5478">
        <w:rPr>
          <w:rFonts w:cs="Arial"/>
        </w:rPr>
        <w:t xml:space="preserve">ramework for </w:t>
      </w:r>
      <w:r w:rsidR="005F1330">
        <w:rPr>
          <w:rFonts w:cs="Arial"/>
        </w:rPr>
        <w:t>l</w:t>
      </w:r>
      <w:r w:rsidR="00DE5478">
        <w:rPr>
          <w:rFonts w:cs="Arial"/>
        </w:rPr>
        <w:t>earning</w:t>
      </w:r>
      <w:r w:rsidR="00A9699C">
        <w:rPr>
          <w:rFonts w:cs="Arial"/>
        </w:rPr>
        <w:t xml:space="preserve"> (Ffl)</w:t>
      </w:r>
      <w:r w:rsidR="00DE5478">
        <w:rPr>
          <w:rFonts w:cs="Arial"/>
        </w:rPr>
        <w:t xml:space="preserve">, </w:t>
      </w:r>
      <w:r w:rsidR="00144FBC">
        <w:rPr>
          <w:rFonts w:cs="Arial"/>
        </w:rPr>
        <w:t xml:space="preserve">lesson plans and supporting </w:t>
      </w:r>
      <w:r w:rsidR="00DE5478">
        <w:rPr>
          <w:rFonts w:cs="Arial"/>
        </w:rPr>
        <w:t>learning materials</w:t>
      </w:r>
      <w:r w:rsidR="0046498E" w:rsidRPr="0070753E">
        <w:rPr>
          <w:rFonts w:cs="Arial"/>
        </w:rPr>
        <w:t xml:space="preserve"> that will </w:t>
      </w:r>
      <w:r w:rsidR="00A0183D">
        <w:rPr>
          <w:rFonts w:cs="Arial"/>
        </w:rPr>
        <w:t>enable</w:t>
      </w:r>
      <w:r w:rsidR="0046498E" w:rsidRPr="0070753E">
        <w:rPr>
          <w:rFonts w:cs="Arial"/>
        </w:rPr>
        <w:t xml:space="preserve"> learners to </w:t>
      </w:r>
      <w:r w:rsidR="00C17A1B">
        <w:rPr>
          <w:rFonts w:cs="Arial"/>
        </w:rPr>
        <w:t xml:space="preserve">develop </w:t>
      </w:r>
      <w:r w:rsidR="005D3834">
        <w:rPr>
          <w:rFonts w:cs="Arial"/>
        </w:rPr>
        <w:t xml:space="preserve">understanding of </w:t>
      </w:r>
      <w:r w:rsidR="00C10659">
        <w:rPr>
          <w:rFonts w:cs="Arial"/>
        </w:rPr>
        <w:t xml:space="preserve">a </w:t>
      </w:r>
      <w:r w:rsidR="00974489">
        <w:rPr>
          <w:rFonts w:cs="Arial"/>
        </w:rPr>
        <w:t>specific area of core knowledge content</w:t>
      </w:r>
      <w:r w:rsidR="00D723D3">
        <w:rPr>
          <w:rFonts w:cs="Arial"/>
        </w:rPr>
        <w:t xml:space="preserve"> </w:t>
      </w:r>
      <w:r w:rsidR="00974489">
        <w:rPr>
          <w:rFonts w:cs="Arial"/>
        </w:rPr>
        <w:t>in</w:t>
      </w:r>
      <w:r w:rsidR="00D723D3">
        <w:rPr>
          <w:rFonts w:cs="Arial"/>
        </w:rPr>
        <w:t xml:space="preserve"> </w:t>
      </w:r>
      <w:r w:rsidR="00D723D3" w:rsidRPr="00AB18F0">
        <w:rPr>
          <w:rFonts w:cs="Arial"/>
        </w:rPr>
        <w:t>the T</w:t>
      </w:r>
      <w:r w:rsidR="00C446BE">
        <w:rPr>
          <w:rFonts w:cs="Arial"/>
        </w:rPr>
        <w:t xml:space="preserve"> </w:t>
      </w:r>
      <w:r w:rsidR="00A72ECC">
        <w:rPr>
          <w:rFonts w:cs="Arial"/>
        </w:rPr>
        <w:t xml:space="preserve">Level </w:t>
      </w:r>
      <w:r w:rsidR="002D6068">
        <w:rPr>
          <w:rFonts w:cs="Arial"/>
        </w:rPr>
        <w:t xml:space="preserve">in </w:t>
      </w:r>
      <w:r w:rsidR="00C44345">
        <w:rPr>
          <w:rFonts w:cs="Arial"/>
        </w:rPr>
        <w:t>Finance</w:t>
      </w:r>
      <w:r w:rsidR="00D723D3">
        <w:rPr>
          <w:rFonts w:cs="Arial"/>
        </w:rPr>
        <w:t>.</w:t>
      </w:r>
      <w:r w:rsidR="001D7AAC">
        <w:rPr>
          <w:rFonts w:cs="Arial"/>
        </w:rPr>
        <w:t xml:space="preserve"> The specific area of </w:t>
      </w:r>
      <w:r w:rsidR="001C175D">
        <w:rPr>
          <w:rFonts w:cs="Arial"/>
        </w:rPr>
        <w:t>C</w:t>
      </w:r>
      <w:r w:rsidR="001D7AAC">
        <w:rPr>
          <w:rFonts w:cs="Arial"/>
        </w:rPr>
        <w:t xml:space="preserve">ore </w:t>
      </w:r>
      <w:r w:rsidR="001C175D">
        <w:rPr>
          <w:rFonts w:cs="Arial"/>
        </w:rPr>
        <w:t>K</w:t>
      </w:r>
      <w:r w:rsidR="001D7AAC">
        <w:rPr>
          <w:rFonts w:cs="Arial"/>
        </w:rPr>
        <w:t>nowledge</w:t>
      </w:r>
      <w:r w:rsidR="00604EEE">
        <w:rPr>
          <w:rFonts w:cs="Arial"/>
        </w:rPr>
        <w:t xml:space="preserve"> </w:t>
      </w:r>
      <w:r w:rsidR="001C175D">
        <w:rPr>
          <w:rFonts w:cs="Arial"/>
        </w:rPr>
        <w:t>C</w:t>
      </w:r>
      <w:r w:rsidR="00604EEE">
        <w:rPr>
          <w:rFonts w:cs="Arial"/>
        </w:rPr>
        <w:t>ontent</w:t>
      </w:r>
      <w:r w:rsidR="001D7AAC">
        <w:rPr>
          <w:rFonts w:cs="Arial"/>
        </w:rPr>
        <w:t xml:space="preserve"> covered </w:t>
      </w:r>
      <w:r w:rsidR="00A43C13">
        <w:rPr>
          <w:rFonts w:cs="Arial"/>
        </w:rPr>
        <w:t>is</w:t>
      </w:r>
      <w:r w:rsidR="00CE3B04">
        <w:rPr>
          <w:rFonts w:cs="Arial"/>
        </w:rPr>
        <w:t xml:space="preserve"> </w:t>
      </w:r>
      <w:r w:rsidR="00A43C13">
        <w:rPr>
          <w:rFonts w:cs="Arial"/>
        </w:rPr>
        <w:t>‘</w:t>
      </w:r>
      <w:r w:rsidR="00F4018A">
        <w:t>The management of risk in bu</w:t>
      </w:r>
      <w:r w:rsidR="00D35703">
        <w:t>sinesses</w:t>
      </w:r>
      <w:r w:rsidR="00A43C13">
        <w:t>’</w:t>
      </w:r>
      <w:r w:rsidR="00CE3B04">
        <w:t xml:space="preserve"> (Core Content</w:t>
      </w:r>
      <w:r w:rsidR="00BF4D7A">
        <w:t xml:space="preserve"> Element </w:t>
      </w:r>
      <w:r w:rsidR="00D35703">
        <w:t>5.4</w:t>
      </w:r>
      <w:r w:rsidR="00CE3B04">
        <w:t>)</w:t>
      </w:r>
      <w:r w:rsidR="00BF4D7A">
        <w:t xml:space="preserve">. </w:t>
      </w:r>
      <w:r w:rsidR="009B150E">
        <w:t xml:space="preserve">The learning also supports development </w:t>
      </w:r>
      <w:r w:rsidR="00712442">
        <w:t>of learners’ oral communication, and higher order thinking skills</w:t>
      </w:r>
    </w:p>
    <w:p w14:paraId="58844066" w14:textId="77777777" w:rsidR="00A43C13" w:rsidRDefault="001D7AAC" w:rsidP="00A43C13">
      <w:pPr>
        <w:rPr>
          <w:rFonts w:cs="Arial"/>
        </w:rPr>
      </w:pPr>
      <w:r>
        <w:rPr>
          <w:rFonts w:cs="Arial"/>
        </w:rPr>
        <w:t xml:space="preserve"> </w:t>
      </w:r>
    </w:p>
    <w:p w14:paraId="40627BA3" w14:textId="677C5DD0" w:rsidR="003E7794" w:rsidRDefault="00E30CD6" w:rsidP="00123614">
      <w:pPr>
        <w:rPr>
          <w:rFonts w:cs="Arial"/>
        </w:rPr>
      </w:pPr>
      <w:r w:rsidRPr="000A65C8">
        <w:rPr>
          <w:rFonts w:cs="Arial"/>
        </w:rPr>
        <w:t>Th</w:t>
      </w:r>
      <w:r>
        <w:rPr>
          <w:rFonts w:cs="Arial"/>
        </w:rPr>
        <w:t>e</w:t>
      </w:r>
      <w:r w:rsidRPr="000A65C8">
        <w:rPr>
          <w:rFonts w:cs="Arial"/>
        </w:rPr>
        <w:t xml:space="preserve"> resource </w:t>
      </w:r>
      <w:r w:rsidR="00A4611A" w:rsidRPr="00A55745">
        <w:rPr>
          <w:rFonts w:eastAsia="Times New Roman" w:cs="Arial"/>
          <w:color w:val="000000"/>
          <w:kern w:val="24"/>
          <w:lang w:eastAsia="en-GB"/>
        </w:rPr>
        <w:t xml:space="preserve">focuses on the development of intrinsic learning, critical thinking skills and applicable techniques needed to fully grasp the concept of risk. </w:t>
      </w:r>
      <w:r w:rsidR="00880F06">
        <w:rPr>
          <w:rFonts w:eastAsia="Times New Roman" w:cs="Arial"/>
          <w:color w:val="000000"/>
          <w:kern w:val="24"/>
          <w:lang w:eastAsia="en-GB"/>
        </w:rPr>
        <w:t>The lesson</w:t>
      </w:r>
      <w:r w:rsidR="00784AD5">
        <w:rPr>
          <w:rFonts w:eastAsia="Times New Roman" w:cs="Arial"/>
          <w:color w:val="000000"/>
          <w:kern w:val="24"/>
          <w:lang w:eastAsia="en-GB"/>
        </w:rPr>
        <w:t>s</w:t>
      </w:r>
      <w:r w:rsidR="00880F06">
        <w:rPr>
          <w:rFonts w:eastAsia="Times New Roman" w:cs="Arial"/>
          <w:color w:val="000000"/>
          <w:kern w:val="24"/>
          <w:lang w:eastAsia="en-GB"/>
        </w:rPr>
        <w:t xml:space="preserve"> in this resource help l</w:t>
      </w:r>
      <w:r w:rsidR="00A4611A" w:rsidRPr="00A55745">
        <w:rPr>
          <w:rFonts w:eastAsia="Times New Roman" w:cs="Arial"/>
          <w:color w:val="000000"/>
          <w:kern w:val="24"/>
          <w:lang w:eastAsia="en-GB"/>
        </w:rPr>
        <w:t xml:space="preserve">earners </w:t>
      </w:r>
      <w:r w:rsidR="00880F06">
        <w:rPr>
          <w:rFonts w:eastAsia="Times New Roman" w:cs="Arial"/>
          <w:color w:val="000000"/>
          <w:kern w:val="24"/>
          <w:lang w:eastAsia="en-GB"/>
        </w:rPr>
        <w:t xml:space="preserve">to </w:t>
      </w:r>
      <w:r w:rsidR="00A4611A">
        <w:rPr>
          <w:rFonts w:eastAsia="Times New Roman" w:cs="Arial"/>
          <w:color w:val="000000"/>
          <w:kern w:val="24"/>
          <w:lang w:eastAsia="en-GB"/>
        </w:rPr>
        <w:t xml:space="preserve">develop an </w:t>
      </w:r>
      <w:r w:rsidR="00A4611A" w:rsidRPr="00A55745">
        <w:rPr>
          <w:rFonts w:eastAsia="Times New Roman" w:cs="Arial"/>
          <w:color w:val="000000"/>
          <w:kern w:val="24"/>
          <w:lang w:eastAsia="en-GB"/>
        </w:rPr>
        <w:t>understand</w:t>
      </w:r>
      <w:r w:rsidR="00A4611A">
        <w:rPr>
          <w:rFonts w:eastAsia="Times New Roman" w:cs="Arial"/>
          <w:color w:val="000000"/>
          <w:kern w:val="24"/>
          <w:lang w:eastAsia="en-GB"/>
        </w:rPr>
        <w:t>ing of</w:t>
      </w:r>
      <w:r w:rsidR="00A4611A" w:rsidRPr="00A55745">
        <w:rPr>
          <w:rFonts w:eastAsia="Times New Roman" w:cs="Arial"/>
          <w:color w:val="000000"/>
          <w:kern w:val="24"/>
          <w:lang w:eastAsia="en-GB"/>
        </w:rPr>
        <w:t xml:space="preserve"> the concept of risk as well as the causes and impact</w:t>
      </w:r>
      <w:r w:rsidR="00A4611A">
        <w:rPr>
          <w:rFonts w:eastAsia="Times New Roman" w:cs="Arial"/>
          <w:color w:val="000000"/>
          <w:kern w:val="24"/>
          <w:lang w:eastAsia="en-GB"/>
        </w:rPr>
        <w:t>s</w:t>
      </w:r>
      <w:r w:rsidR="00A4611A" w:rsidRPr="00A55745">
        <w:rPr>
          <w:rFonts w:eastAsia="Times New Roman" w:cs="Arial"/>
          <w:color w:val="000000"/>
          <w:kern w:val="24"/>
          <w:lang w:eastAsia="en-GB"/>
        </w:rPr>
        <w:t xml:space="preserve"> of risks. The Ffl support</w:t>
      </w:r>
      <w:r w:rsidR="00A4611A">
        <w:rPr>
          <w:rFonts w:eastAsia="Times New Roman" w:cs="Arial"/>
          <w:color w:val="000000"/>
          <w:kern w:val="24"/>
          <w:lang w:eastAsia="en-GB"/>
        </w:rPr>
        <w:t>s</w:t>
      </w:r>
      <w:r w:rsidR="00A4611A" w:rsidRPr="00A55745">
        <w:rPr>
          <w:rFonts w:eastAsia="Times New Roman" w:cs="Arial"/>
          <w:color w:val="000000"/>
          <w:kern w:val="24"/>
          <w:lang w:eastAsia="en-GB"/>
        </w:rPr>
        <w:t xml:space="preserve"> learners to master higher order thinking skills like analytical interpretation of risks, problem-solving, and professional communication</w:t>
      </w:r>
      <w:r w:rsidR="00A72ECC">
        <w:rPr>
          <w:rFonts w:eastAsia="Times New Roman" w:cs="Arial"/>
          <w:color w:val="000000"/>
          <w:kern w:val="24"/>
          <w:lang w:eastAsia="en-GB"/>
        </w:rPr>
        <w:t>,</w:t>
      </w:r>
      <w:r w:rsidR="00A4611A" w:rsidRPr="00A55745">
        <w:rPr>
          <w:rFonts w:eastAsia="Times New Roman" w:cs="Arial"/>
          <w:color w:val="000000"/>
          <w:kern w:val="24"/>
          <w:lang w:eastAsia="en-GB"/>
        </w:rPr>
        <w:t xml:space="preserve"> during decision-making processes centred on the management of risk in businesses.</w:t>
      </w:r>
    </w:p>
    <w:p w14:paraId="149CDAD4" w14:textId="77777777" w:rsidR="003E7794" w:rsidRPr="000A65C8" w:rsidRDefault="003E7794" w:rsidP="003E7794">
      <w:pPr>
        <w:rPr>
          <w:rFonts w:cs="Arial"/>
        </w:rPr>
      </w:pPr>
    </w:p>
    <w:p w14:paraId="180E99E9" w14:textId="6BE75521" w:rsidR="00A9699C" w:rsidRDefault="00A9699C" w:rsidP="00A9699C">
      <w:pPr>
        <w:rPr>
          <w:rFonts w:eastAsia="Times New Roman" w:cs="Arial"/>
        </w:rPr>
      </w:pPr>
      <w:r w:rsidRPr="00A55745">
        <w:rPr>
          <w:rFonts w:eastAsia="Times New Roman" w:cs="Arial"/>
        </w:rPr>
        <w:t>The Ffl is structured around four steps with each step having a specific set of lessons centred around what the learners need to achieve. This enables each lesson to have a learning question that is designed around high</w:t>
      </w:r>
      <w:r w:rsidR="00784AD5">
        <w:rPr>
          <w:rFonts w:eastAsia="Times New Roman" w:cs="Arial"/>
        </w:rPr>
        <w:t>-</w:t>
      </w:r>
      <w:r w:rsidRPr="00A55745">
        <w:rPr>
          <w:rFonts w:eastAsia="Times New Roman" w:cs="Arial"/>
        </w:rPr>
        <w:t>order thinking skills</w:t>
      </w:r>
      <w:r>
        <w:rPr>
          <w:rFonts w:eastAsia="Times New Roman" w:cs="Arial"/>
        </w:rPr>
        <w:t xml:space="preserve"> and </w:t>
      </w:r>
      <w:r w:rsidRPr="00A55745">
        <w:rPr>
          <w:rFonts w:eastAsia="Times New Roman" w:cs="Arial"/>
        </w:rPr>
        <w:t xml:space="preserve">practical activities with </w:t>
      </w:r>
      <w:r>
        <w:rPr>
          <w:rFonts w:eastAsia="Times New Roman" w:cs="Arial"/>
        </w:rPr>
        <w:t>an emphasis on t</w:t>
      </w:r>
      <w:r w:rsidRPr="00A55745">
        <w:rPr>
          <w:rFonts w:eastAsia="Times New Roman" w:cs="Arial"/>
        </w:rPr>
        <w:t xml:space="preserve">he use of command words. </w:t>
      </w:r>
    </w:p>
    <w:p w14:paraId="6E27647F" w14:textId="77777777" w:rsidR="00CD5A59" w:rsidRPr="00A55745" w:rsidRDefault="00CD5A59" w:rsidP="00A9699C">
      <w:pPr>
        <w:rPr>
          <w:rFonts w:eastAsia="Times New Roman" w:cs="Arial"/>
        </w:rPr>
      </w:pPr>
    </w:p>
    <w:p w14:paraId="61F6A6A6" w14:textId="77777777" w:rsidR="00CD5A59" w:rsidRDefault="00A9699C" w:rsidP="00A9699C">
      <w:pPr>
        <w:rPr>
          <w:rFonts w:eastAsia="Times New Roman" w:cs="Arial"/>
        </w:rPr>
      </w:pPr>
      <w:r w:rsidRPr="00A55745">
        <w:rPr>
          <w:rFonts w:eastAsia="Times New Roman" w:cs="Arial"/>
        </w:rPr>
        <w:t>Each step represents a sustainable amount of lesson time, with two to three lessons per step.</w:t>
      </w:r>
      <w:r>
        <w:rPr>
          <w:rFonts w:eastAsia="Times New Roman" w:cs="Arial"/>
        </w:rPr>
        <w:t xml:space="preserve"> </w:t>
      </w:r>
      <w:r w:rsidRPr="00A55745">
        <w:rPr>
          <w:rFonts w:eastAsia="Times New Roman" w:cs="Arial"/>
        </w:rPr>
        <w:t>The final step is the end goal enabling students to consolidate their learning while incorporating digital and technical skills.</w:t>
      </w:r>
    </w:p>
    <w:p w14:paraId="03332FAD" w14:textId="78474A34" w:rsidR="00A9699C" w:rsidRPr="00A55745" w:rsidRDefault="00A9699C" w:rsidP="00A9699C">
      <w:pPr>
        <w:rPr>
          <w:rFonts w:eastAsia="Times New Roman" w:cs="Arial"/>
        </w:rPr>
      </w:pPr>
      <w:r w:rsidRPr="00A55745">
        <w:rPr>
          <w:rFonts w:eastAsia="Times New Roman" w:cs="Arial"/>
        </w:rPr>
        <w:t xml:space="preserve"> </w:t>
      </w:r>
    </w:p>
    <w:p w14:paraId="5DB8C3E2" w14:textId="77777777" w:rsidR="00A9699C" w:rsidRDefault="00A9699C" w:rsidP="00A9699C">
      <w:pPr>
        <w:rPr>
          <w:rFonts w:eastAsia="Times New Roman" w:cs="Arial"/>
        </w:rPr>
      </w:pPr>
      <w:r w:rsidRPr="00A55745">
        <w:rPr>
          <w:rFonts w:eastAsia="Times New Roman" w:cs="Arial"/>
        </w:rPr>
        <w:t xml:space="preserve">Each step allows learners to build on knowledge, assimilate and connect with key terminology they have come across while showing applicable learning of key concepts using relevant scenarios. Collectively, the steps show a progressive journey from </w:t>
      </w:r>
      <w:r>
        <w:rPr>
          <w:rFonts w:eastAsia="Times New Roman" w:cs="Arial"/>
        </w:rPr>
        <w:t xml:space="preserve">basic and applied learning, </w:t>
      </w:r>
      <w:r w:rsidRPr="00A55745">
        <w:rPr>
          <w:rFonts w:eastAsia="Times New Roman" w:cs="Arial"/>
        </w:rPr>
        <w:t xml:space="preserve">complex analytical practice and interpretation to coherent evaluation of types of risks, impacts of risks and risk management strategies. </w:t>
      </w:r>
    </w:p>
    <w:p w14:paraId="3436B089" w14:textId="77777777" w:rsidR="007F1A4F" w:rsidRDefault="007F1A4F" w:rsidP="00A9699C">
      <w:pPr>
        <w:rPr>
          <w:rFonts w:eastAsia="Times New Roman" w:cs="Arial"/>
        </w:rPr>
      </w:pPr>
    </w:p>
    <w:p w14:paraId="18EC8676" w14:textId="2927E089" w:rsidR="007F1A4F" w:rsidRDefault="007F1A4F" w:rsidP="00A9699C">
      <w:pPr>
        <w:rPr>
          <w:rFonts w:eastAsia="Times New Roman" w:cs="Arial"/>
          <w:color w:val="000000"/>
          <w:kern w:val="24"/>
          <w:lang w:eastAsia="en-GB"/>
        </w:rPr>
      </w:pPr>
      <w:r>
        <w:rPr>
          <w:rFonts w:eastAsia="Times New Roman" w:cs="Arial"/>
        </w:rPr>
        <w:t>Step one considers ‘What is risk?’</w:t>
      </w:r>
      <w:r w:rsidR="00E462B9">
        <w:rPr>
          <w:rFonts w:eastAsia="Times New Roman" w:cs="Arial"/>
        </w:rPr>
        <w:t xml:space="preserve"> </w:t>
      </w:r>
      <w:r w:rsidR="00E462B9" w:rsidRPr="00A55745">
        <w:rPr>
          <w:rFonts w:eastAsia="Times New Roman" w:cs="Arial"/>
          <w:color w:val="000000"/>
          <w:kern w:val="24"/>
          <w:lang w:eastAsia="en-GB"/>
        </w:rPr>
        <w:t xml:space="preserve">Learners will develop understanding of the concept of risk. They will explore ethical scenarios that check their understanding of </w:t>
      </w:r>
      <w:r w:rsidR="001B1337">
        <w:rPr>
          <w:rFonts w:eastAsia="Times New Roman" w:cs="Arial"/>
          <w:color w:val="000000"/>
          <w:kern w:val="24"/>
          <w:lang w:eastAsia="en-GB"/>
        </w:rPr>
        <w:t>different types of risk</w:t>
      </w:r>
      <w:r w:rsidR="00A72ECC">
        <w:rPr>
          <w:rFonts w:eastAsia="Times New Roman" w:cs="Arial"/>
          <w:color w:val="000000"/>
          <w:kern w:val="24"/>
          <w:lang w:eastAsia="en-GB"/>
        </w:rPr>
        <w:t>,</w:t>
      </w:r>
      <w:r w:rsidR="001B1337">
        <w:rPr>
          <w:rFonts w:eastAsia="Times New Roman" w:cs="Arial"/>
          <w:color w:val="000000"/>
          <w:kern w:val="24"/>
          <w:lang w:eastAsia="en-GB"/>
        </w:rPr>
        <w:t xml:space="preserve"> in particular </w:t>
      </w:r>
      <w:r w:rsidR="00E462B9" w:rsidRPr="00A55745">
        <w:rPr>
          <w:rFonts w:eastAsia="Times New Roman" w:cs="Arial"/>
          <w:color w:val="000000"/>
          <w:kern w:val="24"/>
          <w:lang w:eastAsia="en-GB"/>
        </w:rPr>
        <w:t>conduc</w:t>
      </w:r>
      <w:r w:rsidR="00521021">
        <w:rPr>
          <w:rFonts w:eastAsia="Times New Roman" w:cs="Arial"/>
          <w:color w:val="000000"/>
          <w:kern w:val="24"/>
          <w:lang w:eastAsia="en-GB"/>
        </w:rPr>
        <w:t xml:space="preserve">t </w:t>
      </w:r>
      <w:r w:rsidR="00E462B9" w:rsidRPr="00A55745">
        <w:rPr>
          <w:rFonts w:eastAsia="Times New Roman" w:cs="Arial"/>
          <w:color w:val="000000"/>
          <w:kern w:val="24"/>
          <w:lang w:eastAsia="en-GB"/>
        </w:rPr>
        <w:t>risk</w:t>
      </w:r>
      <w:r w:rsidR="001B1337">
        <w:rPr>
          <w:rFonts w:eastAsia="Times New Roman" w:cs="Arial"/>
          <w:color w:val="000000"/>
          <w:kern w:val="24"/>
          <w:lang w:eastAsia="en-GB"/>
        </w:rPr>
        <w:t>.</w:t>
      </w:r>
    </w:p>
    <w:p w14:paraId="52417EF0" w14:textId="51656612" w:rsidR="0074476E" w:rsidRDefault="0074476E" w:rsidP="00A9699C">
      <w:pPr>
        <w:rPr>
          <w:rFonts w:eastAsia="Times New Roman" w:cs="Arial"/>
          <w:color w:val="000000"/>
          <w:kern w:val="24"/>
          <w:lang w:eastAsia="en-GB"/>
        </w:rPr>
      </w:pPr>
      <w:r>
        <w:rPr>
          <w:rFonts w:eastAsia="Times New Roman" w:cs="Arial"/>
          <w:color w:val="000000"/>
          <w:kern w:val="24"/>
          <w:lang w:eastAsia="en-GB"/>
        </w:rPr>
        <w:lastRenderedPageBreak/>
        <w:t>Step two focuses on ‘How do I determine the value of the impact of risk?’</w:t>
      </w:r>
      <w:r w:rsidR="00062CA1">
        <w:rPr>
          <w:rFonts w:eastAsia="Times New Roman" w:cs="Arial"/>
          <w:color w:val="000000"/>
          <w:kern w:val="24"/>
          <w:lang w:eastAsia="en-GB"/>
        </w:rPr>
        <w:t xml:space="preserve"> Learners will develop </w:t>
      </w:r>
      <w:r w:rsidR="00062CA1" w:rsidRPr="00A55745">
        <w:rPr>
          <w:rFonts w:eastAsia="Times New Roman" w:cs="Arial"/>
          <w:color w:val="000000"/>
          <w:kern w:val="24"/>
          <w:lang w:eastAsia="en-GB"/>
        </w:rPr>
        <w:t>analytical skills to make rational and informed analysis o</w:t>
      </w:r>
      <w:r w:rsidR="00062CA1">
        <w:rPr>
          <w:rFonts w:eastAsia="Times New Roman" w:cs="Arial"/>
          <w:color w:val="000000"/>
          <w:kern w:val="24"/>
          <w:lang w:eastAsia="en-GB"/>
        </w:rPr>
        <w:t>f</w:t>
      </w:r>
      <w:r w:rsidR="00062CA1" w:rsidRPr="00A55745">
        <w:rPr>
          <w:rFonts w:eastAsia="Times New Roman" w:cs="Arial"/>
          <w:color w:val="000000"/>
          <w:kern w:val="24"/>
          <w:lang w:eastAsia="en-GB"/>
        </w:rPr>
        <w:t xml:space="preserve"> the impacts from the different type of risks. Learners will use case studies and role plays</w:t>
      </w:r>
      <w:r w:rsidR="00AC769E">
        <w:rPr>
          <w:rFonts w:eastAsia="Times New Roman" w:cs="Arial"/>
          <w:color w:val="000000"/>
          <w:kern w:val="24"/>
          <w:lang w:eastAsia="en-GB"/>
        </w:rPr>
        <w:t xml:space="preserve"> to support the development of these skills.</w:t>
      </w:r>
    </w:p>
    <w:p w14:paraId="4815D60B" w14:textId="77777777" w:rsidR="00653201" w:rsidRDefault="00653201" w:rsidP="00A9699C">
      <w:pPr>
        <w:rPr>
          <w:rFonts w:eastAsia="Times New Roman" w:cs="Arial"/>
          <w:color w:val="000000"/>
          <w:kern w:val="24"/>
          <w:lang w:eastAsia="en-GB"/>
        </w:rPr>
      </w:pPr>
    </w:p>
    <w:p w14:paraId="0278D3D2" w14:textId="77777777" w:rsidR="00A1543D" w:rsidRDefault="00653201" w:rsidP="00A9699C">
      <w:pPr>
        <w:rPr>
          <w:rFonts w:eastAsia="Times New Roman" w:cs="Arial"/>
          <w:color w:val="000000"/>
          <w:kern w:val="24"/>
          <w:lang w:eastAsia="en-GB"/>
        </w:rPr>
      </w:pPr>
      <w:r>
        <w:rPr>
          <w:rFonts w:eastAsia="Times New Roman" w:cs="Arial"/>
          <w:color w:val="000000"/>
          <w:kern w:val="24"/>
          <w:lang w:eastAsia="en-GB"/>
        </w:rPr>
        <w:t xml:space="preserve">The key emphasis for step three is </w:t>
      </w:r>
      <w:r w:rsidR="002D7D89">
        <w:rPr>
          <w:rFonts w:eastAsia="Times New Roman" w:cs="Arial"/>
          <w:color w:val="000000"/>
          <w:kern w:val="24"/>
          <w:lang w:eastAsia="en-GB"/>
        </w:rPr>
        <w:t xml:space="preserve">‘How do I evaluate risks using risk </w:t>
      </w:r>
      <w:r w:rsidR="00300DAA">
        <w:rPr>
          <w:rFonts w:eastAsia="Times New Roman" w:cs="Arial"/>
          <w:color w:val="000000"/>
          <w:kern w:val="24"/>
          <w:lang w:eastAsia="en-GB"/>
        </w:rPr>
        <w:t>analysis.</w:t>
      </w:r>
      <w:r w:rsidR="00300DAA" w:rsidRPr="00A55745">
        <w:rPr>
          <w:rFonts w:eastAsia="Times New Roman" w:cs="Arial"/>
          <w:color w:val="000000"/>
          <w:kern w:val="24"/>
          <w:lang w:eastAsia="en-GB"/>
        </w:rPr>
        <w:t xml:space="preserve"> The focus of this step is to establish deeper learning, prompting learners to develop high levels of creativity and critical evaluation. It succinctly creates a journey for applicable processes which allow</w:t>
      </w:r>
      <w:r w:rsidR="00300DAA">
        <w:rPr>
          <w:rFonts w:eastAsia="Times New Roman" w:cs="Arial"/>
          <w:color w:val="000000"/>
          <w:kern w:val="24"/>
          <w:lang w:eastAsia="en-GB"/>
        </w:rPr>
        <w:t>s</w:t>
      </w:r>
      <w:r w:rsidR="00300DAA" w:rsidRPr="00A55745">
        <w:rPr>
          <w:rFonts w:eastAsia="Times New Roman" w:cs="Arial"/>
          <w:color w:val="000000"/>
          <w:kern w:val="24"/>
          <w:lang w:eastAsia="en-GB"/>
        </w:rPr>
        <w:t xml:space="preserve"> learners to show analytical and problem-solving skills while developing critical judgement for decisions made. These decisions should be backed by evidence from previous lessons and the use </w:t>
      </w:r>
      <w:r w:rsidR="00160EC1">
        <w:rPr>
          <w:rFonts w:eastAsia="Times New Roman" w:cs="Arial"/>
          <w:color w:val="000000"/>
          <w:kern w:val="24"/>
          <w:lang w:eastAsia="en-GB"/>
        </w:rPr>
        <w:t xml:space="preserve">of </w:t>
      </w:r>
    </w:p>
    <w:p w14:paraId="792EA3BF" w14:textId="75380DDD" w:rsidR="00653201" w:rsidRDefault="00300DAA" w:rsidP="00A9699C">
      <w:pPr>
        <w:rPr>
          <w:rFonts w:eastAsia="Times New Roman" w:cs="Arial"/>
          <w:color w:val="000000"/>
          <w:kern w:val="24"/>
          <w:lang w:eastAsia="en-GB"/>
        </w:rPr>
      </w:pPr>
      <w:r w:rsidRPr="00A55745">
        <w:rPr>
          <w:rFonts w:eastAsia="Times New Roman" w:cs="Arial"/>
          <w:color w:val="000000"/>
          <w:kern w:val="24"/>
          <w:lang w:eastAsia="en-GB"/>
        </w:rPr>
        <w:t>extended writing.</w:t>
      </w:r>
    </w:p>
    <w:p w14:paraId="199B821F" w14:textId="77777777" w:rsidR="00A1543D" w:rsidRDefault="00A1543D" w:rsidP="00A9699C">
      <w:pPr>
        <w:rPr>
          <w:rFonts w:eastAsia="Times New Roman" w:cs="Arial"/>
          <w:color w:val="000000"/>
          <w:kern w:val="24"/>
          <w:lang w:eastAsia="en-GB"/>
        </w:rPr>
      </w:pPr>
    </w:p>
    <w:p w14:paraId="7F1A2E10" w14:textId="79DDB7CA" w:rsidR="00B22576" w:rsidRDefault="00A1543D" w:rsidP="00A72ECC">
      <w:pPr>
        <w:rPr>
          <w:rFonts w:eastAsia="Times New Roman" w:cs="Arial"/>
          <w:color w:val="000000"/>
          <w:kern w:val="24"/>
          <w:lang w:eastAsia="en-GB"/>
        </w:rPr>
      </w:pPr>
      <w:r>
        <w:rPr>
          <w:rFonts w:eastAsia="Times New Roman" w:cs="Arial"/>
          <w:color w:val="000000"/>
          <w:kern w:val="24"/>
          <w:lang w:eastAsia="en-GB"/>
        </w:rPr>
        <w:t xml:space="preserve">In step four learners </w:t>
      </w:r>
      <w:r w:rsidR="0084475C">
        <w:rPr>
          <w:rFonts w:eastAsia="Times New Roman" w:cs="Arial"/>
          <w:color w:val="000000"/>
          <w:kern w:val="24"/>
          <w:lang w:eastAsia="en-GB"/>
        </w:rPr>
        <w:t>consider</w:t>
      </w:r>
      <w:r w:rsidR="00E55112">
        <w:rPr>
          <w:rFonts w:eastAsia="Times New Roman" w:cs="Arial"/>
          <w:color w:val="000000"/>
          <w:kern w:val="24"/>
          <w:lang w:eastAsia="en-GB"/>
        </w:rPr>
        <w:t>:</w:t>
      </w:r>
      <w:r w:rsidR="0084475C">
        <w:rPr>
          <w:rFonts w:eastAsia="Times New Roman" w:cs="Arial"/>
          <w:color w:val="000000"/>
          <w:kern w:val="24"/>
          <w:lang w:eastAsia="en-GB"/>
        </w:rPr>
        <w:t xml:space="preserve"> </w:t>
      </w:r>
      <w:r w:rsidR="00E55112" w:rsidRPr="00E55112">
        <w:rPr>
          <w:rFonts w:eastAsia="Times New Roman" w:cs="Arial"/>
          <w:color w:val="000000"/>
          <w:kern w:val="24"/>
          <w:lang w:eastAsia="en-GB"/>
        </w:rPr>
        <w:t>How to present a report on the</w:t>
      </w:r>
      <w:r w:rsidR="00E55112" w:rsidRPr="00A55745">
        <w:rPr>
          <w:rFonts w:eastAsia="Times New Roman" w:cs="Arial"/>
          <w:b/>
          <w:bCs/>
        </w:rPr>
        <w:t xml:space="preserve"> </w:t>
      </w:r>
      <w:r w:rsidR="00E55112" w:rsidRPr="00E55112">
        <w:rPr>
          <w:rFonts w:eastAsia="Times New Roman" w:cs="Arial"/>
          <w:color w:val="000000"/>
          <w:kern w:val="24"/>
          <w:lang w:eastAsia="en-GB"/>
        </w:rPr>
        <w:t>different types of risks?</w:t>
      </w:r>
      <w:r w:rsidR="00E55112">
        <w:rPr>
          <w:rFonts w:eastAsia="Times New Roman" w:cs="Arial"/>
          <w:color w:val="000000"/>
          <w:kern w:val="24"/>
          <w:lang w:eastAsia="en-GB"/>
        </w:rPr>
        <w:t xml:space="preserve"> This step consolidates learning from the previous lessons</w:t>
      </w:r>
      <w:r w:rsidR="00AC62DC">
        <w:rPr>
          <w:rFonts w:eastAsia="Times New Roman" w:cs="Arial"/>
          <w:color w:val="000000"/>
          <w:kern w:val="24"/>
          <w:lang w:eastAsia="en-GB"/>
        </w:rPr>
        <w:t xml:space="preserve">. Learners </w:t>
      </w:r>
      <w:r w:rsidR="00AC62DC" w:rsidRPr="00A55745">
        <w:rPr>
          <w:rFonts w:eastAsia="Times New Roman" w:cs="Arial"/>
          <w:color w:val="000000"/>
          <w:kern w:val="24"/>
          <w:lang w:eastAsia="en-GB"/>
        </w:rPr>
        <w:t>use their critical judgement and practical skills to create a risk analysis on how the different types of risks are prioritised and addressed based on the value of the impac</w:t>
      </w:r>
      <w:r w:rsidR="00AC62DC">
        <w:rPr>
          <w:rFonts w:eastAsia="Times New Roman" w:cs="Arial"/>
          <w:color w:val="000000"/>
          <w:kern w:val="24"/>
          <w:lang w:eastAsia="en-GB"/>
        </w:rPr>
        <w:t>t</w:t>
      </w:r>
      <w:r w:rsidR="00ED09A2">
        <w:rPr>
          <w:rFonts w:eastAsia="Times New Roman" w:cs="Arial"/>
          <w:color w:val="000000"/>
          <w:kern w:val="24"/>
          <w:lang w:eastAsia="en-GB"/>
        </w:rPr>
        <w:t>. Learners will:</w:t>
      </w:r>
    </w:p>
    <w:p w14:paraId="4E3D8CC1" w14:textId="77777777" w:rsidR="00A72ECC" w:rsidRPr="00A72ECC" w:rsidRDefault="00A72ECC" w:rsidP="00A72ECC">
      <w:pPr>
        <w:rPr>
          <w:rFonts w:eastAsia="Times New Roman" w:cs="Arial"/>
          <w:color w:val="000000"/>
          <w:kern w:val="24"/>
          <w:lang w:eastAsia="en-GB"/>
        </w:rPr>
      </w:pPr>
    </w:p>
    <w:p w14:paraId="45B494F9" w14:textId="4B8A8CB3" w:rsidR="00B22576" w:rsidRPr="00A55745" w:rsidRDefault="00547209" w:rsidP="00B22576">
      <w:pPr>
        <w:numPr>
          <w:ilvl w:val="0"/>
          <w:numId w:val="36"/>
        </w:numPr>
        <w:spacing w:after="160" w:line="257" w:lineRule="auto"/>
        <w:rPr>
          <w:rFonts w:eastAsia="Times New Roman" w:cs="Arial"/>
          <w:lang w:eastAsia="en-GB"/>
        </w:rPr>
      </w:pPr>
      <w:r>
        <w:rPr>
          <w:rFonts w:eastAsia="Times New Roman" w:cs="Arial"/>
          <w:lang w:eastAsia="en-GB"/>
        </w:rPr>
        <w:t>p</w:t>
      </w:r>
      <w:r w:rsidR="00B22576" w:rsidRPr="00A55745">
        <w:rPr>
          <w:rFonts w:eastAsia="Times New Roman" w:cs="Arial"/>
          <w:lang w:eastAsia="en-GB"/>
        </w:rPr>
        <w:t xml:space="preserve">roduce their own version of </w:t>
      </w:r>
      <w:r w:rsidR="00B22576">
        <w:rPr>
          <w:rFonts w:eastAsia="Times New Roman" w:cs="Arial"/>
          <w:lang w:eastAsia="en-GB"/>
        </w:rPr>
        <w:t xml:space="preserve">a </w:t>
      </w:r>
      <w:r w:rsidR="00B22576" w:rsidRPr="00A55745">
        <w:rPr>
          <w:rFonts w:eastAsia="Times New Roman" w:cs="Arial"/>
          <w:lang w:eastAsia="en-GB"/>
        </w:rPr>
        <w:t>risk matrix</w:t>
      </w:r>
    </w:p>
    <w:p w14:paraId="3BC3E8D4" w14:textId="7CF74D44" w:rsidR="00B22576" w:rsidRPr="00A55745" w:rsidRDefault="00547209" w:rsidP="00B22576">
      <w:pPr>
        <w:numPr>
          <w:ilvl w:val="0"/>
          <w:numId w:val="37"/>
        </w:numPr>
        <w:spacing w:after="160" w:line="257" w:lineRule="auto"/>
        <w:rPr>
          <w:rFonts w:eastAsia="Times New Roman" w:cs="Arial"/>
          <w:lang w:eastAsia="en-GB"/>
        </w:rPr>
      </w:pPr>
      <w:r>
        <w:rPr>
          <w:rFonts w:eastAsia="Times New Roman" w:cs="Arial"/>
          <w:lang w:eastAsia="en-GB"/>
        </w:rPr>
        <w:t>c</w:t>
      </w:r>
      <w:r w:rsidR="00B22576" w:rsidRPr="00A55745">
        <w:rPr>
          <w:rFonts w:eastAsia="Times New Roman" w:cs="Arial"/>
          <w:lang w:eastAsia="en-GB"/>
        </w:rPr>
        <w:t>ritically assess the value of the impact of risks based on likelihood, severity and speed</w:t>
      </w:r>
    </w:p>
    <w:p w14:paraId="6F14463D" w14:textId="089B1CCA" w:rsidR="00A1543D" w:rsidRPr="00B22576" w:rsidRDefault="00547209" w:rsidP="00A9699C">
      <w:pPr>
        <w:numPr>
          <w:ilvl w:val="0"/>
          <w:numId w:val="37"/>
        </w:numPr>
        <w:spacing w:after="160" w:line="257" w:lineRule="auto"/>
        <w:rPr>
          <w:rFonts w:eastAsia="Times New Roman" w:cs="Arial"/>
          <w:lang w:eastAsia="en-GB"/>
        </w:rPr>
      </w:pPr>
      <w:r>
        <w:rPr>
          <w:rFonts w:eastAsia="Times New Roman" w:cs="Arial"/>
        </w:rPr>
        <w:t>p</w:t>
      </w:r>
      <w:r w:rsidR="00B22576" w:rsidRPr="00A55745">
        <w:rPr>
          <w:rFonts w:eastAsia="Times New Roman" w:cs="Arial"/>
        </w:rPr>
        <w:t>ropose justifiable recommendations and actions to address the impact of risks on the high priority scale.</w:t>
      </w:r>
    </w:p>
    <w:p w14:paraId="6F9079FD" w14:textId="77777777" w:rsidR="00CD5A59" w:rsidRPr="00A55745" w:rsidRDefault="00CD5A59" w:rsidP="00A9699C">
      <w:pPr>
        <w:rPr>
          <w:rFonts w:eastAsia="Times New Roman" w:cs="Arial"/>
        </w:rPr>
      </w:pPr>
    </w:p>
    <w:p w14:paraId="4C1D11CF" w14:textId="6738B3A6" w:rsidR="00A8229D" w:rsidRDefault="00A9699C" w:rsidP="00A9699C">
      <w:pPr>
        <w:rPr>
          <w:rFonts w:eastAsia="Arial" w:cs="Arial"/>
        </w:rPr>
      </w:pPr>
      <w:r w:rsidRPr="00A55745">
        <w:rPr>
          <w:rFonts w:eastAsia="Times New Roman" w:cs="Times New Roman"/>
        </w:rPr>
        <w:t>Th</w:t>
      </w:r>
      <w:r w:rsidR="00CD5A59">
        <w:rPr>
          <w:rFonts w:eastAsia="Times New Roman" w:cs="Times New Roman"/>
        </w:rPr>
        <w:t>e materials in this resource</w:t>
      </w:r>
      <w:r w:rsidRPr="00A55745">
        <w:rPr>
          <w:rFonts w:eastAsia="Times New Roman" w:cs="Times New Roman"/>
        </w:rPr>
        <w:t xml:space="preserve"> can be delivered flexibly across the first year of the T Level in Finance</w:t>
      </w:r>
      <w:r w:rsidR="00CD5A59">
        <w:rPr>
          <w:rFonts w:eastAsia="Times New Roman" w:cs="Times New Roman"/>
        </w:rPr>
        <w:t xml:space="preserve">. </w:t>
      </w:r>
    </w:p>
    <w:p w14:paraId="4B9B09D9" w14:textId="77777777" w:rsidR="000377C7" w:rsidRPr="009B0D2D" w:rsidRDefault="000377C7" w:rsidP="00E03BE4">
      <w:pPr>
        <w:rPr>
          <w:rFonts w:cs="Arial"/>
          <w:color w:val="EE0000"/>
        </w:rPr>
      </w:pPr>
    </w:p>
    <w:p w14:paraId="3ED77807" w14:textId="7141102F" w:rsidR="0078454B" w:rsidRDefault="0011524B" w:rsidP="008325DE">
      <w:pPr>
        <w:rPr>
          <w:rFonts w:eastAsia="Times New Roman" w:cs="Arial"/>
          <w:lang w:eastAsia="en-GB"/>
        </w:rPr>
      </w:pPr>
      <w:r w:rsidRPr="00431093">
        <w:t xml:space="preserve">Each lesson has a </w:t>
      </w:r>
      <w:r w:rsidR="003E7007" w:rsidRPr="00431093">
        <w:t xml:space="preserve">lesson plan, </w:t>
      </w:r>
      <w:r w:rsidR="00AC267E">
        <w:t>with a range of supporting materials such as</w:t>
      </w:r>
      <w:r w:rsidR="009456FD">
        <w:t xml:space="preserve"> learner activities</w:t>
      </w:r>
      <w:r w:rsidR="00FF37BA">
        <w:t xml:space="preserve">, links to websites and other media, handouts and case </w:t>
      </w:r>
      <w:r w:rsidR="00E50ED6">
        <w:t>studies. There</w:t>
      </w:r>
      <w:r w:rsidR="00FB46DE" w:rsidRPr="00431093">
        <w:t xml:space="preserve"> is a</w:t>
      </w:r>
      <w:r w:rsidR="00FF37BA">
        <w:t>lso a</w:t>
      </w:r>
      <w:r w:rsidR="00483C23" w:rsidRPr="00431093">
        <w:t xml:space="preserve"> separate </w:t>
      </w:r>
      <w:r w:rsidR="001F54AB" w:rsidRPr="00431093">
        <w:t xml:space="preserve">slide deck </w:t>
      </w:r>
      <w:r w:rsidR="00FF37BA">
        <w:t>to be</w:t>
      </w:r>
      <w:r w:rsidR="001F54AB" w:rsidRPr="00431093">
        <w:t xml:space="preserve"> used to support delivery of the </w:t>
      </w:r>
      <w:r w:rsidR="00A72ECC">
        <w:t>10</w:t>
      </w:r>
      <w:r w:rsidR="00852651" w:rsidRPr="00431093">
        <w:t xml:space="preserve"> lesson</w:t>
      </w:r>
      <w:r w:rsidR="00C10659">
        <w:t xml:space="preserve">s. </w:t>
      </w:r>
    </w:p>
    <w:p w14:paraId="05B586A4" w14:textId="77777777" w:rsidR="00AB6BB9" w:rsidRDefault="00AB6BB9" w:rsidP="00FD175C">
      <w:pPr>
        <w:pStyle w:val="Heading2"/>
        <w:rPr>
          <w:rFonts w:eastAsia="Times New Roman"/>
          <w:lang w:eastAsia="en-GB"/>
        </w:rPr>
      </w:pPr>
    </w:p>
    <w:p w14:paraId="59A0237D" w14:textId="65122F82" w:rsidR="00FA5ABB" w:rsidRDefault="00FD6B40" w:rsidP="00FD175C">
      <w:pPr>
        <w:pStyle w:val="Heading2"/>
        <w:rPr>
          <w:rFonts w:eastAsia="Times New Roman"/>
          <w:lang w:eastAsia="en-GB"/>
        </w:rPr>
      </w:pPr>
      <w:r>
        <w:rPr>
          <w:rFonts w:eastAsia="Times New Roman"/>
          <w:lang w:eastAsia="en-GB"/>
        </w:rPr>
        <w:t>Downloadable resources</w:t>
      </w:r>
    </w:p>
    <w:p w14:paraId="628ADA8E" w14:textId="77777777" w:rsidR="00A17AE9" w:rsidRPr="00A17AE9" w:rsidRDefault="00A17AE9" w:rsidP="00A17AE9">
      <w:pPr>
        <w:rPr>
          <w:lang w:eastAsia="en-GB"/>
        </w:rPr>
      </w:pPr>
    </w:p>
    <w:tbl>
      <w:tblPr>
        <w:tblStyle w:val="TableGrid"/>
        <w:tblW w:w="0" w:type="auto"/>
        <w:tblLook w:val="04A0" w:firstRow="1" w:lastRow="0" w:firstColumn="1" w:lastColumn="0" w:noHBand="0" w:noVBand="1"/>
      </w:tblPr>
      <w:tblGrid>
        <w:gridCol w:w="3681"/>
        <w:gridCol w:w="2410"/>
      </w:tblGrid>
      <w:tr w:rsidR="00FD175C" w14:paraId="3A01360F" w14:textId="77777777" w:rsidTr="00FD175C">
        <w:tc>
          <w:tcPr>
            <w:tcW w:w="3681" w:type="dxa"/>
          </w:tcPr>
          <w:p w14:paraId="36A073D3" w14:textId="01E3BB0D" w:rsidR="00FD175C" w:rsidRDefault="00A17AE9" w:rsidP="00FD175C">
            <w:pPr>
              <w:textAlignment w:val="baseline"/>
              <w:rPr>
                <w:rFonts w:eastAsia="Times New Roman" w:cs="Arial"/>
                <w:lang w:eastAsia="en-GB"/>
              </w:rPr>
            </w:pPr>
            <w:r>
              <w:rPr>
                <w:rFonts w:eastAsia="Times New Roman" w:cs="Arial"/>
                <w:lang w:eastAsia="en-GB"/>
              </w:rPr>
              <w:t xml:space="preserve">Word document including introduction, </w:t>
            </w:r>
            <w:r w:rsidR="00BC439F">
              <w:rPr>
                <w:rFonts w:eastAsia="Times New Roman" w:cs="Arial"/>
                <w:lang w:eastAsia="en-GB"/>
              </w:rPr>
              <w:t>F</w:t>
            </w:r>
            <w:r>
              <w:rPr>
                <w:rFonts w:eastAsia="Times New Roman" w:cs="Arial"/>
                <w:lang w:eastAsia="en-GB"/>
              </w:rPr>
              <w:t xml:space="preserve">ramework for </w:t>
            </w:r>
            <w:r w:rsidR="00BC439F">
              <w:rPr>
                <w:rFonts w:eastAsia="Times New Roman" w:cs="Arial"/>
                <w:lang w:eastAsia="en-GB"/>
              </w:rPr>
              <w:t>L</w:t>
            </w:r>
            <w:r>
              <w:rPr>
                <w:rFonts w:eastAsia="Times New Roman" w:cs="Arial"/>
                <w:lang w:eastAsia="en-GB"/>
              </w:rPr>
              <w:t xml:space="preserve">earning, </w:t>
            </w:r>
            <w:r w:rsidR="00A72ECC">
              <w:rPr>
                <w:rFonts w:eastAsia="Times New Roman" w:cs="Arial"/>
                <w:lang w:eastAsia="en-GB"/>
              </w:rPr>
              <w:t>10</w:t>
            </w:r>
            <w:r w:rsidR="00C36BE3">
              <w:rPr>
                <w:rFonts w:eastAsia="Times New Roman" w:cs="Arial"/>
                <w:lang w:eastAsia="en-GB"/>
              </w:rPr>
              <w:t xml:space="preserve"> </w:t>
            </w:r>
            <w:r>
              <w:rPr>
                <w:rFonts w:eastAsia="Times New Roman" w:cs="Arial"/>
                <w:lang w:eastAsia="en-GB"/>
              </w:rPr>
              <w:t>lesson plans and associated supporting resources</w:t>
            </w:r>
            <w:r w:rsidR="00AF6ECE">
              <w:rPr>
                <w:rFonts w:eastAsia="Times New Roman" w:cs="Arial"/>
                <w:lang w:eastAsia="en-GB"/>
              </w:rPr>
              <w:t>.</w:t>
            </w:r>
          </w:p>
        </w:tc>
        <w:tc>
          <w:tcPr>
            <w:tcW w:w="2410" w:type="dxa"/>
          </w:tcPr>
          <w:p w14:paraId="44883FB7" w14:textId="0183BAA7" w:rsidR="00FD175C" w:rsidRDefault="009A388F" w:rsidP="00FD175C">
            <w:pPr>
              <w:textAlignment w:val="baseline"/>
              <w:rPr>
                <w:rFonts w:eastAsia="Times New Roman" w:cs="Arial"/>
                <w:lang w:eastAsia="en-GB"/>
              </w:rPr>
            </w:pPr>
            <w:r>
              <w:rPr>
                <w:rFonts w:eastAsia="Times New Roman" w:cs="Arial"/>
                <w:lang w:eastAsia="en-GB"/>
              </w:rPr>
              <w:t>1</w:t>
            </w:r>
          </w:p>
        </w:tc>
      </w:tr>
      <w:tr w:rsidR="00A17AE9" w14:paraId="3BC92170" w14:textId="77777777" w:rsidTr="00FD175C">
        <w:tc>
          <w:tcPr>
            <w:tcW w:w="3681" w:type="dxa"/>
          </w:tcPr>
          <w:p w14:paraId="02A1D3F3" w14:textId="40D9E6C1" w:rsidR="00A17AE9" w:rsidRDefault="00A17AE9" w:rsidP="00FD175C">
            <w:pPr>
              <w:textAlignment w:val="baseline"/>
              <w:rPr>
                <w:rFonts w:eastAsia="Times New Roman" w:cs="Arial"/>
                <w:lang w:eastAsia="en-GB"/>
              </w:rPr>
            </w:pPr>
            <w:r>
              <w:rPr>
                <w:rFonts w:eastAsia="Times New Roman" w:cs="Arial"/>
                <w:lang w:eastAsia="en-GB"/>
              </w:rPr>
              <w:t xml:space="preserve">PowerPoint </w:t>
            </w:r>
            <w:r w:rsidR="00175319">
              <w:rPr>
                <w:rFonts w:eastAsia="Times New Roman" w:cs="Arial"/>
                <w:lang w:eastAsia="en-GB"/>
              </w:rPr>
              <w:t>to support lesson plan</w:t>
            </w:r>
            <w:r w:rsidR="006508AD">
              <w:rPr>
                <w:rFonts w:eastAsia="Times New Roman" w:cs="Arial"/>
                <w:lang w:eastAsia="en-GB"/>
              </w:rPr>
              <w:t>s</w:t>
            </w:r>
          </w:p>
        </w:tc>
        <w:tc>
          <w:tcPr>
            <w:tcW w:w="2410" w:type="dxa"/>
          </w:tcPr>
          <w:p w14:paraId="154CBBB1" w14:textId="03F4E9A1" w:rsidR="00A17AE9" w:rsidRDefault="00175319" w:rsidP="00FD175C">
            <w:pPr>
              <w:textAlignment w:val="baseline"/>
              <w:rPr>
                <w:rFonts w:eastAsia="Times New Roman" w:cs="Arial"/>
                <w:lang w:eastAsia="en-GB"/>
              </w:rPr>
            </w:pPr>
            <w:r>
              <w:rPr>
                <w:rFonts w:eastAsia="Times New Roman" w:cs="Arial"/>
                <w:lang w:eastAsia="en-GB"/>
              </w:rPr>
              <w:t>1</w:t>
            </w:r>
          </w:p>
        </w:tc>
      </w:tr>
    </w:tbl>
    <w:p w14:paraId="594F5B1D" w14:textId="77777777" w:rsidR="00FD175C" w:rsidRDefault="00FD175C" w:rsidP="0078454B">
      <w:pPr>
        <w:textAlignment w:val="baseline"/>
        <w:rPr>
          <w:rFonts w:eastAsia="Times New Roman" w:cs="Arial"/>
          <w:lang w:eastAsia="en-GB"/>
        </w:rPr>
      </w:pPr>
    </w:p>
    <w:p w14:paraId="51FB622A" w14:textId="77777777" w:rsidR="00FD6B40" w:rsidRDefault="00FD6B40" w:rsidP="0078454B">
      <w:pPr>
        <w:textAlignment w:val="baseline"/>
        <w:rPr>
          <w:rFonts w:eastAsia="Times New Roman" w:cs="Arial"/>
          <w:lang w:eastAsia="en-GB"/>
        </w:rPr>
      </w:pPr>
    </w:p>
    <w:p w14:paraId="6B2474DD" w14:textId="77777777" w:rsidR="0078454B" w:rsidRPr="00AB18F0" w:rsidRDefault="0078454B" w:rsidP="0078454B">
      <w:pPr>
        <w:textAlignment w:val="baseline"/>
        <w:rPr>
          <w:rFonts w:ascii="Segoe UI" w:eastAsia="Times New Roman" w:hAnsi="Segoe UI" w:cs="Segoe UI"/>
          <w:sz w:val="18"/>
          <w:szCs w:val="18"/>
          <w:lang w:eastAsia="en-GB"/>
        </w:rPr>
      </w:pPr>
    </w:p>
    <w:sectPr w:rsidR="0078454B" w:rsidRPr="00AB18F0"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9372" w14:textId="77777777" w:rsidR="00A64A5C" w:rsidRDefault="00A64A5C" w:rsidP="002B439B">
      <w:r>
        <w:separator/>
      </w:r>
    </w:p>
  </w:endnote>
  <w:endnote w:type="continuationSeparator" w:id="0">
    <w:p w14:paraId="2B0C608A" w14:textId="77777777" w:rsidR="00A64A5C" w:rsidRDefault="00A64A5C"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FACC" w14:textId="77777777" w:rsidR="00A64A5C" w:rsidRDefault="00A64A5C" w:rsidP="002B439B">
      <w:r>
        <w:separator/>
      </w:r>
    </w:p>
  </w:footnote>
  <w:footnote w:type="continuationSeparator" w:id="0">
    <w:p w14:paraId="42148B66" w14:textId="77777777" w:rsidR="00A64A5C" w:rsidRDefault="00A64A5C"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580"/>
    <w:multiLevelType w:val="hybridMultilevel"/>
    <w:tmpl w:val="97FE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2"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27241B"/>
    <w:multiLevelType w:val="hybridMultilevel"/>
    <w:tmpl w:val="F31AF3FC"/>
    <w:lvl w:ilvl="0" w:tplc="08090001">
      <w:start w:val="1"/>
      <w:numFmt w:val="bullet"/>
      <w:lvlText w:val=""/>
      <w:lvlJc w:val="left"/>
      <w:pPr>
        <w:ind w:left="720" w:hanging="360"/>
      </w:pPr>
      <w:rPr>
        <w:rFonts w:ascii="Symbol" w:hAnsi="Symbol" w:hint="default"/>
      </w:rPr>
    </w:lvl>
    <w:lvl w:ilvl="1" w:tplc="34423B7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82ABD"/>
    <w:multiLevelType w:val="hybridMultilevel"/>
    <w:tmpl w:val="478C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27955"/>
    <w:multiLevelType w:val="multilevel"/>
    <w:tmpl w:val="FF90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4"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5"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5832AE"/>
    <w:multiLevelType w:val="hybridMultilevel"/>
    <w:tmpl w:val="3746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657502">
    <w:abstractNumId w:val="24"/>
  </w:num>
  <w:num w:numId="2" w16cid:durableId="268702522">
    <w:abstractNumId w:val="12"/>
  </w:num>
  <w:num w:numId="3" w16cid:durableId="1258833042">
    <w:abstractNumId w:val="28"/>
  </w:num>
  <w:num w:numId="4" w16cid:durableId="571239899">
    <w:abstractNumId w:val="22"/>
  </w:num>
  <w:num w:numId="5" w16cid:durableId="360982869">
    <w:abstractNumId w:val="21"/>
  </w:num>
  <w:num w:numId="6" w16cid:durableId="2046715611">
    <w:abstractNumId w:val="8"/>
  </w:num>
  <w:num w:numId="7" w16cid:durableId="1307511340">
    <w:abstractNumId w:val="13"/>
  </w:num>
  <w:num w:numId="8" w16cid:durableId="2046830829">
    <w:abstractNumId w:val="26"/>
  </w:num>
  <w:num w:numId="9" w16cid:durableId="842665330">
    <w:abstractNumId w:val="35"/>
  </w:num>
  <w:num w:numId="10" w16cid:durableId="96676490">
    <w:abstractNumId w:val="4"/>
  </w:num>
  <w:num w:numId="11" w16cid:durableId="1915428124">
    <w:abstractNumId w:val="0"/>
  </w:num>
  <w:num w:numId="12" w16cid:durableId="2003509527">
    <w:abstractNumId w:val="34"/>
  </w:num>
  <w:num w:numId="13" w16cid:durableId="2035036047">
    <w:abstractNumId w:val="14"/>
  </w:num>
  <w:num w:numId="14" w16cid:durableId="1432627918">
    <w:abstractNumId w:val="23"/>
  </w:num>
  <w:num w:numId="15" w16cid:durableId="607198898">
    <w:abstractNumId w:val="11"/>
  </w:num>
  <w:num w:numId="16" w16cid:durableId="841091994">
    <w:abstractNumId w:val="3"/>
  </w:num>
  <w:num w:numId="17" w16cid:durableId="923759010">
    <w:abstractNumId w:val="1"/>
  </w:num>
  <w:num w:numId="18" w16cid:durableId="381101390">
    <w:abstractNumId w:val="33"/>
  </w:num>
  <w:num w:numId="19" w16cid:durableId="1392315478">
    <w:abstractNumId w:val="30"/>
  </w:num>
  <w:num w:numId="20" w16cid:durableId="1590506958">
    <w:abstractNumId w:val="10"/>
  </w:num>
  <w:num w:numId="21" w16cid:durableId="1708141270">
    <w:abstractNumId w:val="6"/>
  </w:num>
  <w:num w:numId="22" w16cid:durableId="73626742">
    <w:abstractNumId w:val="5"/>
  </w:num>
  <w:num w:numId="23" w16cid:durableId="959453851">
    <w:abstractNumId w:val="32"/>
  </w:num>
  <w:num w:numId="24" w16cid:durableId="269970014">
    <w:abstractNumId w:val="27"/>
  </w:num>
  <w:num w:numId="25" w16cid:durableId="1490753154">
    <w:abstractNumId w:val="18"/>
  </w:num>
  <w:num w:numId="26" w16cid:durableId="501941176">
    <w:abstractNumId w:val="31"/>
  </w:num>
  <w:num w:numId="27" w16cid:durableId="926302150">
    <w:abstractNumId w:val="17"/>
  </w:num>
  <w:num w:numId="28" w16cid:durableId="1783915824">
    <w:abstractNumId w:val="9"/>
  </w:num>
  <w:num w:numId="29" w16cid:durableId="1476606943">
    <w:abstractNumId w:val="25"/>
  </w:num>
  <w:num w:numId="30" w16cid:durableId="1996957236">
    <w:abstractNumId w:val="20"/>
  </w:num>
  <w:num w:numId="31" w16cid:durableId="1944192101">
    <w:abstractNumId w:val="29"/>
  </w:num>
  <w:num w:numId="32" w16cid:durableId="1313482494">
    <w:abstractNumId w:val="2"/>
  </w:num>
  <w:num w:numId="33" w16cid:durableId="2049183331">
    <w:abstractNumId w:val="15"/>
  </w:num>
  <w:num w:numId="34" w16cid:durableId="991373151">
    <w:abstractNumId w:val="7"/>
  </w:num>
  <w:num w:numId="35" w16cid:durableId="1293438829">
    <w:abstractNumId w:val="19"/>
  </w:num>
  <w:num w:numId="36" w16cid:durableId="2102291671">
    <w:abstractNumId w:val="16"/>
  </w:num>
  <w:num w:numId="37" w16cid:durableId="19096147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49EB"/>
    <w:rsid w:val="000377C7"/>
    <w:rsid w:val="00037C74"/>
    <w:rsid w:val="0005625B"/>
    <w:rsid w:val="00062CA1"/>
    <w:rsid w:val="00062CEB"/>
    <w:rsid w:val="00063A09"/>
    <w:rsid w:val="00063FE5"/>
    <w:rsid w:val="0006798F"/>
    <w:rsid w:val="00070B6E"/>
    <w:rsid w:val="000719DC"/>
    <w:rsid w:val="00084282"/>
    <w:rsid w:val="00086C73"/>
    <w:rsid w:val="0009482E"/>
    <w:rsid w:val="000A6084"/>
    <w:rsid w:val="000B7B98"/>
    <w:rsid w:val="000C2677"/>
    <w:rsid w:val="000D4387"/>
    <w:rsid w:val="000D4897"/>
    <w:rsid w:val="000E0EEE"/>
    <w:rsid w:val="000E3AC7"/>
    <w:rsid w:val="000F12CC"/>
    <w:rsid w:val="000F2C70"/>
    <w:rsid w:val="000F3FD9"/>
    <w:rsid w:val="000F53C4"/>
    <w:rsid w:val="000F69C1"/>
    <w:rsid w:val="00105018"/>
    <w:rsid w:val="0011524B"/>
    <w:rsid w:val="001213E8"/>
    <w:rsid w:val="001224CC"/>
    <w:rsid w:val="00123614"/>
    <w:rsid w:val="00132721"/>
    <w:rsid w:val="001352A1"/>
    <w:rsid w:val="00141D7A"/>
    <w:rsid w:val="00144FBC"/>
    <w:rsid w:val="00151D50"/>
    <w:rsid w:val="001527F3"/>
    <w:rsid w:val="00154BC5"/>
    <w:rsid w:val="00154BCF"/>
    <w:rsid w:val="00155173"/>
    <w:rsid w:val="00160EC1"/>
    <w:rsid w:val="00167E9E"/>
    <w:rsid w:val="0017225E"/>
    <w:rsid w:val="00175319"/>
    <w:rsid w:val="001A0652"/>
    <w:rsid w:val="001A539D"/>
    <w:rsid w:val="001A5ADD"/>
    <w:rsid w:val="001B0E67"/>
    <w:rsid w:val="001B0F8A"/>
    <w:rsid w:val="001B1337"/>
    <w:rsid w:val="001B33F5"/>
    <w:rsid w:val="001B6164"/>
    <w:rsid w:val="001B714B"/>
    <w:rsid w:val="001C175D"/>
    <w:rsid w:val="001C33E3"/>
    <w:rsid w:val="001C76F0"/>
    <w:rsid w:val="001D1515"/>
    <w:rsid w:val="001D7AAC"/>
    <w:rsid w:val="001E3F0F"/>
    <w:rsid w:val="001E535C"/>
    <w:rsid w:val="001F4CED"/>
    <w:rsid w:val="001F4FF1"/>
    <w:rsid w:val="001F54AB"/>
    <w:rsid w:val="001F6E75"/>
    <w:rsid w:val="00202C83"/>
    <w:rsid w:val="00210CCE"/>
    <w:rsid w:val="002168E3"/>
    <w:rsid w:val="00225D3B"/>
    <w:rsid w:val="00230A76"/>
    <w:rsid w:val="00230BAF"/>
    <w:rsid w:val="002403D7"/>
    <w:rsid w:val="00243584"/>
    <w:rsid w:val="00247062"/>
    <w:rsid w:val="00252D6A"/>
    <w:rsid w:val="00256AFD"/>
    <w:rsid w:val="002649CD"/>
    <w:rsid w:val="002666A3"/>
    <w:rsid w:val="00266A99"/>
    <w:rsid w:val="00280B3F"/>
    <w:rsid w:val="00282B1A"/>
    <w:rsid w:val="00282E34"/>
    <w:rsid w:val="00283506"/>
    <w:rsid w:val="002861A4"/>
    <w:rsid w:val="002864C1"/>
    <w:rsid w:val="00297C77"/>
    <w:rsid w:val="00297D7D"/>
    <w:rsid w:val="002A0982"/>
    <w:rsid w:val="002B267F"/>
    <w:rsid w:val="002B439B"/>
    <w:rsid w:val="002C3048"/>
    <w:rsid w:val="002C4E3E"/>
    <w:rsid w:val="002D331D"/>
    <w:rsid w:val="002D6068"/>
    <w:rsid w:val="002D7D89"/>
    <w:rsid w:val="002E1490"/>
    <w:rsid w:val="002E241B"/>
    <w:rsid w:val="002E2D1F"/>
    <w:rsid w:val="002E64AE"/>
    <w:rsid w:val="00300DAA"/>
    <w:rsid w:val="003149C5"/>
    <w:rsid w:val="00316334"/>
    <w:rsid w:val="00316C87"/>
    <w:rsid w:val="00317329"/>
    <w:rsid w:val="00317434"/>
    <w:rsid w:val="00325F63"/>
    <w:rsid w:val="00331C4F"/>
    <w:rsid w:val="00332B65"/>
    <w:rsid w:val="00334805"/>
    <w:rsid w:val="0034085E"/>
    <w:rsid w:val="00345AB1"/>
    <w:rsid w:val="0034718E"/>
    <w:rsid w:val="00347985"/>
    <w:rsid w:val="00355EA8"/>
    <w:rsid w:val="0035779F"/>
    <w:rsid w:val="00362D34"/>
    <w:rsid w:val="00375DFE"/>
    <w:rsid w:val="00386A20"/>
    <w:rsid w:val="003A2562"/>
    <w:rsid w:val="003C0ECE"/>
    <w:rsid w:val="003C46C8"/>
    <w:rsid w:val="003C4C84"/>
    <w:rsid w:val="003C4D65"/>
    <w:rsid w:val="003D1932"/>
    <w:rsid w:val="003E1658"/>
    <w:rsid w:val="003E3EED"/>
    <w:rsid w:val="003E5E7F"/>
    <w:rsid w:val="003E6B10"/>
    <w:rsid w:val="003E7007"/>
    <w:rsid w:val="003E7794"/>
    <w:rsid w:val="00402651"/>
    <w:rsid w:val="0040273B"/>
    <w:rsid w:val="00413F3A"/>
    <w:rsid w:val="00417129"/>
    <w:rsid w:val="00421A77"/>
    <w:rsid w:val="00421B61"/>
    <w:rsid w:val="00427953"/>
    <w:rsid w:val="00431093"/>
    <w:rsid w:val="004330C5"/>
    <w:rsid w:val="00435249"/>
    <w:rsid w:val="0043530B"/>
    <w:rsid w:val="00441B5B"/>
    <w:rsid w:val="00442C82"/>
    <w:rsid w:val="00443184"/>
    <w:rsid w:val="00446B72"/>
    <w:rsid w:val="00452017"/>
    <w:rsid w:val="00462AAF"/>
    <w:rsid w:val="00463CBA"/>
    <w:rsid w:val="004644F3"/>
    <w:rsid w:val="0046498E"/>
    <w:rsid w:val="00464B1F"/>
    <w:rsid w:val="0046585A"/>
    <w:rsid w:val="00467060"/>
    <w:rsid w:val="0047231E"/>
    <w:rsid w:val="00483C23"/>
    <w:rsid w:val="00484798"/>
    <w:rsid w:val="00484C5C"/>
    <w:rsid w:val="00486C3B"/>
    <w:rsid w:val="00495889"/>
    <w:rsid w:val="00497E59"/>
    <w:rsid w:val="004A052F"/>
    <w:rsid w:val="004A0678"/>
    <w:rsid w:val="004A19FF"/>
    <w:rsid w:val="004A62A3"/>
    <w:rsid w:val="004A6D59"/>
    <w:rsid w:val="004B514D"/>
    <w:rsid w:val="004C1CBF"/>
    <w:rsid w:val="004C5B87"/>
    <w:rsid w:val="004D055D"/>
    <w:rsid w:val="004D0A23"/>
    <w:rsid w:val="004D51E0"/>
    <w:rsid w:val="004D58A1"/>
    <w:rsid w:val="004E6C2D"/>
    <w:rsid w:val="004F5E81"/>
    <w:rsid w:val="00500AD3"/>
    <w:rsid w:val="00510E5E"/>
    <w:rsid w:val="00521021"/>
    <w:rsid w:val="005243AA"/>
    <w:rsid w:val="005259C7"/>
    <w:rsid w:val="005322E1"/>
    <w:rsid w:val="00537C0A"/>
    <w:rsid w:val="005458AF"/>
    <w:rsid w:val="00547209"/>
    <w:rsid w:val="00553F10"/>
    <w:rsid w:val="005706B0"/>
    <w:rsid w:val="00574CE1"/>
    <w:rsid w:val="005822BA"/>
    <w:rsid w:val="005836CE"/>
    <w:rsid w:val="00591265"/>
    <w:rsid w:val="00593EE7"/>
    <w:rsid w:val="005968D0"/>
    <w:rsid w:val="00597E44"/>
    <w:rsid w:val="005A7BB3"/>
    <w:rsid w:val="005C468A"/>
    <w:rsid w:val="005D3834"/>
    <w:rsid w:val="005D7F73"/>
    <w:rsid w:val="005E035B"/>
    <w:rsid w:val="005E19E2"/>
    <w:rsid w:val="005F1330"/>
    <w:rsid w:val="005F1A83"/>
    <w:rsid w:val="005F46B7"/>
    <w:rsid w:val="005F7503"/>
    <w:rsid w:val="0060302C"/>
    <w:rsid w:val="00603AF9"/>
    <w:rsid w:val="00604EEE"/>
    <w:rsid w:val="00605EE0"/>
    <w:rsid w:val="0060717E"/>
    <w:rsid w:val="00613045"/>
    <w:rsid w:val="00622D5D"/>
    <w:rsid w:val="00633BB0"/>
    <w:rsid w:val="006358CC"/>
    <w:rsid w:val="00645801"/>
    <w:rsid w:val="006508AD"/>
    <w:rsid w:val="006513B7"/>
    <w:rsid w:val="00653201"/>
    <w:rsid w:val="0065466B"/>
    <w:rsid w:val="00654978"/>
    <w:rsid w:val="00670789"/>
    <w:rsid w:val="0067341F"/>
    <w:rsid w:val="00674340"/>
    <w:rsid w:val="00684846"/>
    <w:rsid w:val="006926E1"/>
    <w:rsid w:val="006A3F5B"/>
    <w:rsid w:val="006A794E"/>
    <w:rsid w:val="006B28BE"/>
    <w:rsid w:val="006D2047"/>
    <w:rsid w:val="006D2578"/>
    <w:rsid w:val="006D27C0"/>
    <w:rsid w:val="006E0A3D"/>
    <w:rsid w:val="006E2506"/>
    <w:rsid w:val="006E2B11"/>
    <w:rsid w:val="006E415E"/>
    <w:rsid w:val="006F2D00"/>
    <w:rsid w:val="0070753E"/>
    <w:rsid w:val="00712442"/>
    <w:rsid w:val="00717756"/>
    <w:rsid w:val="0072015F"/>
    <w:rsid w:val="0072155F"/>
    <w:rsid w:val="00726AE0"/>
    <w:rsid w:val="00726B1A"/>
    <w:rsid w:val="007311E7"/>
    <w:rsid w:val="0073583D"/>
    <w:rsid w:val="00741472"/>
    <w:rsid w:val="0074476E"/>
    <w:rsid w:val="00747D68"/>
    <w:rsid w:val="00747EB7"/>
    <w:rsid w:val="007566D6"/>
    <w:rsid w:val="00763B8A"/>
    <w:rsid w:val="007653AD"/>
    <w:rsid w:val="00765C52"/>
    <w:rsid w:val="007710D0"/>
    <w:rsid w:val="00775E6E"/>
    <w:rsid w:val="007762B1"/>
    <w:rsid w:val="007775E2"/>
    <w:rsid w:val="0078454B"/>
    <w:rsid w:val="0078474C"/>
    <w:rsid w:val="00784AD5"/>
    <w:rsid w:val="0079187B"/>
    <w:rsid w:val="00791F40"/>
    <w:rsid w:val="00792EE7"/>
    <w:rsid w:val="0079747B"/>
    <w:rsid w:val="007C469C"/>
    <w:rsid w:val="007C4F87"/>
    <w:rsid w:val="007E4675"/>
    <w:rsid w:val="007F048F"/>
    <w:rsid w:val="007F1A4F"/>
    <w:rsid w:val="007F4B50"/>
    <w:rsid w:val="00804736"/>
    <w:rsid w:val="00806281"/>
    <w:rsid w:val="00806EC2"/>
    <w:rsid w:val="00807DE9"/>
    <w:rsid w:val="0081207B"/>
    <w:rsid w:val="008325DE"/>
    <w:rsid w:val="008349FC"/>
    <w:rsid w:val="0084475C"/>
    <w:rsid w:val="008477B3"/>
    <w:rsid w:val="008508F6"/>
    <w:rsid w:val="00852651"/>
    <w:rsid w:val="008578E7"/>
    <w:rsid w:val="00861426"/>
    <w:rsid w:val="00861D0D"/>
    <w:rsid w:val="00862D4B"/>
    <w:rsid w:val="00864F57"/>
    <w:rsid w:val="00867D01"/>
    <w:rsid w:val="00874989"/>
    <w:rsid w:val="00880F06"/>
    <w:rsid w:val="00885C99"/>
    <w:rsid w:val="00890F7F"/>
    <w:rsid w:val="008934F6"/>
    <w:rsid w:val="008A1FA2"/>
    <w:rsid w:val="008B4308"/>
    <w:rsid w:val="008B6D0F"/>
    <w:rsid w:val="008B71CC"/>
    <w:rsid w:val="008C24A0"/>
    <w:rsid w:val="008C4342"/>
    <w:rsid w:val="008D500F"/>
    <w:rsid w:val="008E1470"/>
    <w:rsid w:val="008E73A9"/>
    <w:rsid w:val="008E79BF"/>
    <w:rsid w:val="008F2792"/>
    <w:rsid w:val="008F439C"/>
    <w:rsid w:val="008F4C49"/>
    <w:rsid w:val="00901C11"/>
    <w:rsid w:val="009021BC"/>
    <w:rsid w:val="00905971"/>
    <w:rsid w:val="009062A1"/>
    <w:rsid w:val="00910A2E"/>
    <w:rsid w:val="00914A53"/>
    <w:rsid w:val="0094092B"/>
    <w:rsid w:val="00941EA8"/>
    <w:rsid w:val="009456FD"/>
    <w:rsid w:val="009509C7"/>
    <w:rsid w:val="00953E84"/>
    <w:rsid w:val="009560DE"/>
    <w:rsid w:val="009628B8"/>
    <w:rsid w:val="00966F33"/>
    <w:rsid w:val="00967C75"/>
    <w:rsid w:val="00974489"/>
    <w:rsid w:val="0099077A"/>
    <w:rsid w:val="00991972"/>
    <w:rsid w:val="009936AD"/>
    <w:rsid w:val="00994E1A"/>
    <w:rsid w:val="009A388F"/>
    <w:rsid w:val="009A7181"/>
    <w:rsid w:val="009B0D2D"/>
    <w:rsid w:val="009B150E"/>
    <w:rsid w:val="009C1253"/>
    <w:rsid w:val="009C4038"/>
    <w:rsid w:val="009C72FC"/>
    <w:rsid w:val="009D6A0F"/>
    <w:rsid w:val="009E3470"/>
    <w:rsid w:val="009E70B0"/>
    <w:rsid w:val="009F066C"/>
    <w:rsid w:val="009F7788"/>
    <w:rsid w:val="00A005F0"/>
    <w:rsid w:val="00A0183D"/>
    <w:rsid w:val="00A02682"/>
    <w:rsid w:val="00A049C6"/>
    <w:rsid w:val="00A04E09"/>
    <w:rsid w:val="00A105AD"/>
    <w:rsid w:val="00A1543D"/>
    <w:rsid w:val="00A17AE9"/>
    <w:rsid w:val="00A275FA"/>
    <w:rsid w:val="00A345E9"/>
    <w:rsid w:val="00A37DE3"/>
    <w:rsid w:val="00A43C13"/>
    <w:rsid w:val="00A4611A"/>
    <w:rsid w:val="00A5069F"/>
    <w:rsid w:val="00A56B41"/>
    <w:rsid w:val="00A5732A"/>
    <w:rsid w:val="00A613D0"/>
    <w:rsid w:val="00A64A5C"/>
    <w:rsid w:val="00A67999"/>
    <w:rsid w:val="00A67D3E"/>
    <w:rsid w:val="00A70411"/>
    <w:rsid w:val="00A72784"/>
    <w:rsid w:val="00A72ECC"/>
    <w:rsid w:val="00A761C5"/>
    <w:rsid w:val="00A8229D"/>
    <w:rsid w:val="00A84554"/>
    <w:rsid w:val="00A86C52"/>
    <w:rsid w:val="00A87D01"/>
    <w:rsid w:val="00A92379"/>
    <w:rsid w:val="00A94205"/>
    <w:rsid w:val="00A9572C"/>
    <w:rsid w:val="00A9699C"/>
    <w:rsid w:val="00AB48F8"/>
    <w:rsid w:val="00AB6B84"/>
    <w:rsid w:val="00AB6BB9"/>
    <w:rsid w:val="00AC267E"/>
    <w:rsid w:val="00AC62DC"/>
    <w:rsid w:val="00AC769E"/>
    <w:rsid w:val="00AD3CE0"/>
    <w:rsid w:val="00AE5230"/>
    <w:rsid w:val="00AE5CE8"/>
    <w:rsid w:val="00AF0EA9"/>
    <w:rsid w:val="00AF3364"/>
    <w:rsid w:val="00AF538E"/>
    <w:rsid w:val="00AF6ECE"/>
    <w:rsid w:val="00AF7C13"/>
    <w:rsid w:val="00B20C05"/>
    <w:rsid w:val="00B22576"/>
    <w:rsid w:val="00B231BF"/>
    <w:rsid w:val="00B25498"/>
    <w:rsid w:val="00B353F1"/>
    <w:rsid w:val="00B4732A"/>
    <w:rsid w:val="00B47A57"/>
    <w:rsid w:val="00B548E5"/>
    <w:rsid w:val="00B63016"/>
    <w:rsid w:val="00B633F8"/>
    <w:rsid w:val="00B65DB7"/>
    <w:rsid w:val="00B70714"/>
    <w:rsid w:val="00B72AD5"/>
    <w:rsid w:val="00B8101B"/>
    <w:rsid w:val="00B83C91"/>
    <w:rsid w:val="00B84519"/>
    <w:rsid w:val="00B8751B"/>
    <w:rsid w:val="00B87B93"/>
    <w:rsid w:val="00B918A9"/>
    <w:rsid w:val="00BA19AD"/>
    <w:rsid w:val="00BA1E44"/>
    <w:rsid w:val="00BB11F6"/>
    <w:rsid w:val="00BC1187"/>
    <w:rsid w:val="00BC439F"/>
    <w:rsid w:val="00BC54A3"/>
    <w:rsid w:val="00BC79B5"/>
    <w:rsid w:val="00BD13CF"/>
    <w:rsid w:val="00BF2C69"/>
    <w:rsid w:val="00BF351A"/>
    <w:rsid w:val="00BF4D7A"/>
    <w:rsid w:val="00BF74AB"/>
    <w:rsid w:val="00BF78CD"/>
    <w:rsid w:val="00C00D46"/>
    <w:rsid w:val="00C011E5"/>
    <w:rsid w:val="00C10659"/>
    <w:rsid w:val="00C141D8"/>
    <w:rsid w:val="00C17A1B"/>
    <w:rsid w:val="00C25418"/>
    <w:rsid w:val="00C32E80"/>
    <w:rsid w:val="00C36BE3"/>
    <w:rsid w:val="00C41733"/>
    <w:rsid w:val="00C41DCB"/>
    <w:rsid w:val="00C44345"/>
    <w:rsid w:val="00C446BE"/>
    <w:rsid w:val="00C454DA"/>
    <w:rsid w:val="00C46294"/>
    <w:rsid w:val="00C47CD7"/>
    <w:rsid w:val="00C57110"/>
    <w:rsid w:val="00C6169C"/>
    <w:rsid w:val="00C634A6"/>
    <w:rsid w:val="00C667A7"/>
    <w:rsid w:val="00C66CD0"/>
    <w:rsid w:val="00C671B5"/>
    <w:rsid w:val="00C72AFE"/>
    <w:rsid w:val="00C72FE4"/>
    <w:rsid w:val="00C73769"/>
    <w:rsid w:val="00C77857"/>
    <w:rsid w:val="00C81F19"/>
    <w:rsid w:val="00C84EAA"/>
    <w:rsid w:val="00C957C3"/>
    <w:rsid w:val="00CA0810"/>
    <w:rsid w:val="00CA7865"/>
    <w:rsid w:val="00CB43C4"/>
    <w:rsid w:val="00CB5FF9"/>
    <w:rsid w:val="00CC07E3"/>
    <w:rsid w:val="00CC0D34"/>
    <w:rsid w:val="00CC492B"/>
    <w:rsid w:val="00CC60E0"/>
    <w:rsid w:val="00CD5A59"/>
    <w:rsid w:val="00CE3B04"/>
    <w:rsid w:val="00CF72A8"/>
    <w:rsid w:val="00D0133B"/>
    <w:rsid w:val="00D01B5D"/>
    <w:rsid w:val="00D04DF9"/>
    <w:rsid w:val="00D20FD4"/>
    <w:rsid w:val="00D21A88"/>
    <w:rsid w:val="00D225BB"/>
    <w:rsid w:val="00D22A28"/>
    <w:rsid w:val="00D33CF3"/>
    <w:rsid w:val="00D35703"/>
    <w:rsid w:val="00D53A95"/>
    <w:rsid w:val="00D53DFA"/>
    <w:rsid w:val="00D5434A"/>
    <w:rsid w:val="00D54E10"/>
    <w:rsid w:val="00D723D3"/>
    <w:rsid w:val="00D76565"/>
    <w:rsid w:val="00D82EAA"/>
    <w:rsid w:val="00D84C2A"/>
    <w:rsid w:val="00D85015"/>
    <w:rsid w:val="00DA1A9A"/>
    <w:rsid w:val="00DA77DD"/>
    <w:rsid w:val="00DB3E4C"/>
    <w:rsid w:val="00DB4A91"/>
    <w:rsid w:val="00DB6F10"/>
    <w:rsid w:val="00DB756D"/>
    <w:rsid w:val="00DC78BD"/>
    <w:rsid w:val="00DD17F7"/>
    <w:rsid w:val="00DD5410"/>
    <w:rsid w:val="00DD541B"/>
    <w:rsid w:val="00DD5677"/>
    <w:rsid w:val="00DE5478"/>
    <w:rsid w:val="00DF18E6"/>
    <w:rsid w:val="00DF5BA8"/>
    <w:rsid w:val="00E0209D"/>
    <w:rsid w:val="00E029DE"/>
    <w:rsid w:val="00E03BE4"/>
    <w:rsid w:val="00E048D0"/>
    <w:rsid w:val="00E04CBA"/>
    <w:rsid w:val="00E07F5C"/>
    <w:rsid w:val="00E10E33"/>
    <w:rsid w:val="00E16520"/>
    <w:rsid w:val="00E168FA"/>
    <w:rsid w:val="00E24E7D"/>
    <w:rsid w:val="00E30CD6"/>
    <w:rsid w:val="00E3230F"/>
    <w:rsid w:val="00E40C55"/>
    <w:rsid w:val="00E462B9"/>
    <w:rsid w:val="00E46584"/>
    <w:rsid w:val="00E50ED6"/>
    <w:rsid w:val="00E522A6"/>
    <w:rsid w:val="00E533FA"/>
    <w:rsid w:val="00E55112"/>
    <w:rsid w:val="00E6310F"/>
    <w:rsid w:val="00E65FFD"/>
    <w:rsid w:val="00E70A07"/>
    <w:rsid w:val="00E73F35"/>
    <w:rsid w:val="00E773AF"/>
    <w:rsid w:val="00E826B6"/>
    <w:rsid w:val="00E854AC"/>
    <w:rsid w:val="00E87C82"/>
    <w:rsid w:val="00EA05C1"/>
    <w:rsid w:val="00EA3F13"/>
    <w:rsid w:val="00EA5426"/>
    <w:rsid w:val="00EC74D0"/>
    <w:rsid w:val="00ED09A2"/>
    <w:rsid w:val="00ED3056"/>
    <w:rsid w:val="00ED43C7"/>
    <w:rsid w:val="00EE3C87"/>
    <w:rsid w:val="00EE405B"/>
    <w:rsid w:val="00EE5F7C"/>
    <w:rsid w:val="00EF1CCA"/>
    <w:rsid w:val="00F05E25"/>
    <w:rsid w:val="00F150B2"/>
    <w:rsid w:val="00F2786B"/>
    <w:rsid w:val="00F331D0"/>
    <w:rsid w:val="00F370C5"/>
    <w:rsid w:val="00F4018A"/>
    <w:rsid w:val="00F418A6"/>
    <w:rsid w:val="00F51EDF"/>
    <w:rsid w:val="00F635D0"/>
    <w:rsid w:val="00F66042"/>
    <w:rsid w:val="00F72FEF"/>
    <w:rsid w:val="00F73BB3"/>
    <w:rsid w:val="00F81239"/>
    <w:rsid w:val="00F81CC2"/>
    <w:rsid w:val="00F84A8F"/>
    <w:rsid w:val="00F85F41"/>
    <w:rsid w:val="00F93948"/>
    <w:rsid w:val="00F959AA"/>
    <w:rsid w:val="00F971BF"/>
    <w:rsid w:val="00FA0B6C"/>
    <w:rsid w:val="00FA3AD8"/>
    <w:rsid w:val="00FA5ABB"/>
    <w:rsid w:val="00FA6B1E"/>
    <w:rsid w:val="00FB3D5B"/>
    <w:rsid w:val="00FB46DE"/>
    <w:rsid w:val="00FB735B"/>
    <w:rsid w:val="00FC71F8"/>
    <w:rsid w:val="00FC769E"/>
    <w:rsid w:val="00FC7B9C"/>
    <w:rsid w:val="00FD175C"/>
    <w:rsid w:val="00FD6B40"/>
    <w:rsid w:val="00FD6EDE"/>
    <w:rsid w:val="00FE10CA"/>
    <w:rsid w:val="00FE1E54"/>
    <w:rsid w:val="00FF081B"/>
    <w:rsid w:val="00FF37BA"/>
    <w:rsid w:val="00FF578E"/>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D7558D16-47B8-462C-9017-278EF7CA8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4008</Characters>
  <Application>Microsoft Office Word</Application>
  <DocSecurity>0</DocSecurity>
  <Lines>87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to support the delivery of Core Knowledge Content for the T Level in Finance</dc:title>
  <dc:subject/>
  <dc:creator>South Bank University Sixth Form</dc:creator>
  <cp:keywords/>
  <dc:description/>
  <cp:lastModifiedBy>Nicola Susans</cp:lastModifiedBy>
  <cp:revision>4</cp:revision>
  <dcterms:created xsi:type="dcterms:W3CDTF">2026-05-28T11:06:00Z</dcterms:created>
  <dcterms:modified xsi:type="dcterms:W3CDTF">2026-06-03T09:05:00Z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